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6C63" w14:textId="64B52AAC" w:rsidR="007736DA" w:rsidRPr="0096393D" w:rsidRDefault="0064393B" w:rsidP="007736DA">
      <w:pPr>
        <w:tabs>
          <w:tab w:val="left" w:pos="2024"/>
        </w:tabs>
        <w:jc w:val="center"/>
        <w:rPr>
          <w:b/>
          <w:bCs/>
          <w:color w:val="ED7D31" w:themeColor="accent2"/>
        </w:rPr>
      </w:pPr>
      <w:r w:rsidRPr="0096393D">
        <w:rPr>
          <w:b/>
          <w:bCs/>
          <w:color w:val="ED7D31" w:themeColor="accent2"/>
        </w:rPr>
        <w:t>Guide of content</w:t>
      </w:r>
    </w:p>
    <w:p w14:paraId="0B33A7AA" w14:textId="2BA9013E" w:rsidR="00BB3123" w:rsidRPr="0096393D" w:rsidRDefault="0064393B" w:rsidP="007736DA">
      <w:pPr>
        <w:tabs>
          <w:tab w:val="left" w:pos="2024"/>
        </w:tabs>
        <w:jc w:val="center"/>
        <w:rPr>
          <w:b/>
          <w:bCs/>
          <w:color w:val="ED7D31" w:themeColor="accent2"/>
        </w:rPr>
      </w:pPr>
      <w:r w:rsidRPr="0096393D">
        <w:rPr>
          <w:b/>
          <w:bCs/>
          <w:color w:val="ED7D31" w:themeColor="accent2"/>
        </w:rPr>
        <w:t>for the self-assessment report of ENQA Agency Reviews</w:t>
      </w:r>
    </w:p>
    <w:p w14:paraId="353A10D4" w14:textId="0FA4760D" w:rsidR="0064393B" w:rsidRDefault="0064393B" w:rsidP="004C1999">
      <w:pPr>
        <w:tabs>
          <w:tab w:val="left" w:pos="2024"/>
        </w:tabs>
        <w:jc w:val="both"/>
      </w:pPr>
    </w:p>
    <w:p w14:paraId="5CC9C629" w14:textId="204483DB" w:rsidR="00AB1BC1" w:rsidRDefault="00AB1BC1" w:rsidP="004C1999">
      <w:pPr>
        <w:tabs>
          <w:tab w:val="left" w:pos="2024"/>
        </w:tabs>
        <w:jc w:val="both"/>
      </w:pPr>
      <w:r>
        <w:t>The self-assessment report should follow the provided main structure</w:t>
      </w:r>
      <w:r w:rsidR="00076F0E">
        <w:t xml:space="preserve"> (see below).</w:t>
      </w:r>
      <w:r w:rsidR="00D77847">
        <w:t xml:space="preserve"> </w:t>
      </w:r>
      <w:r w:rsidR="002C2A8B">
        <w:t>Please delete</w:t>
      </w:r>
      <w:r w:rsidR="00D77847">
        <w:t xml:space="preserve"> the indicated instructions before delivering the report to ENQA.</w:t>
      </w:r>
    </w:p>
    <w:p w14:paraId="43C3F5F3" w14:textId="77777777" w:rsidR="00AB1BC1" w:rsidRDefault="00AB1BC1" w:rsidP="004C1999">
      <w:pPr>
        <w:tabs>
          <w:tab w:val="left" w:pos="2024"/>
        </w:tabs>
        <w:jc w:val="both"/>
      </w:pPr>
    </w:p>
    <w:p w14:paraId="4FBF4A10" w14:textId="2DB40DD1" w:rsidR="00AB1BC1" w:rsidRDefault="00AB1BC1" w:rsidP="004C1999">
      <w:pPr>
        <w:pStyle w:val="ListParagraph"/>
        <w:numPr>
          <w:ilvl w:val="0"/>
          <w:numId w:val="1"/>
        </w:numPr>
        <w:tabs>
          <w:tab w:val="left" w:pos="2024"/>
        </w:tabs>
        <w:jc w:val="both"/>
      </w:pPr>
      <w:r>
        <w:t>Introduction</w:t>
      </w:r>
    </w:p>
    <w:p w14:paraId="764F5BAD" w14:textId="77777777" w:rsidR="00CC04D9" w:rsidRDefault="00CC04D9" w:rsidP="004C1999">
      <w:pPr>
        <w:tabs>
          <w:tab w:val="left" w:pos="2024"/>
        </w:tabs>
        <w:jc w:val="both"/>
      </w:pPr>
    </w:p>
    <w:p w14:paraId="78891908" w14:textId="03BBD888" w:rsidR="00AB1BC1" w:rsidRDefault="00AB1BC1" w:rsidP="004C1999">
      <w:pPr>
        <w:pStyle w:val="ListParagraph"/>
        <w:numPr>
          <w:ilvl w:val="0"/>
          <w:numId w:val="1"/>
        </w:numPr>
        <w:tabs>
          <w:tab w:val="left" w:pos="2024"/>
        </w:tabs>
        <w:jc w:val="both"/>
      </w:pPr>
      <w:r>
        <w:t>Development of the self-assessment report (SAR)</w:t>
      </w:r>
    </w:p>
    <w:p w14:paraId="3E924436" w14:textId="77777777" w:rsidR="00AB1BC1" w:rsidRDefault="00AB1BC1" w:rsidP="004C1999">
      <w:pPr>
        <w:tabs>
          <w:tab w:val="left" w:pos="2024"/>
        </w:tabs>
        <w:jc w:val="both"/>
      </w:pPr>
    </w:p>
    <w:p w14:paraId="33518CD1" w14:textId="7F83397A" w:rsidR="0064393B" w:rsidRPr="00E4506A" w:rsidRDefault="00AB1BC1" w:rsidP="004C1999">
      <w:pPr>
        <w:tabs>
          <w:tab w:val="left" w:pos="2024"/>
        </w:tabs>
        <w:jc w:val="both"/>
        <w:rPr>
          <w:i/>
          <w:iCs/>
        </w:rPr>
      </w:pPr>
      <w:r w:rsidRPr="00E4506A">
        <w:rPr>
          <w:i/>
          <w:iCs/>
        </w:rPr>
        <w:t>Describe the means the agency has used to develop and produce the SAR (appointment of a team, involvement of stakeholders, timeline etc.).</w:t>
      </w:r>
    </w:p>
    <w:p w14:paraId="6841041D" w14:textId="2147C40C" w:rsidR="00D77847" w:rsidRDefault="00D77847" w:rsidP="004C1999">
      <w:pPr>
        <w:tabs>
          <w:tab w:val="left" w:pos="2024"/>
        </w:tabs>
        <w:jc w:val="both"/>
      </w:pPr>
    </w:p>
    <w:p w14:paraId="60A908FC" w14:textId="1D878CF3" w:rsidR="00C32F9E" w:rsidRDefault="00C32F9E" w:rsidP="004C1999">
      <w:pPr>
        <w:pStyle w:val="ListParagraph"/>
        <w:numPr>
          <w:ilvl w:val="0"/>
          <w:numId w:val="1"/>
        </w:numPr>
        <w:tabs>
          <w:tab w:val="left" w:pos="2024"/>
        </w:tabs>
        <w:jc w:val="both"/>
      </w:pPr>
      <w:r>
        <w:t>Higher education and QA of higher education in the context of the agency</w:t>
      </w:r>
    </w:p>
    <w:p w14:paraId="4FCA8CE1" w14:textId="77777777" w:rsidR="00C32F9E" w:rsidRDefault="00C32F9E" w:rsidP="004C1999">
      <w:pPr>
        <w:tabs>
          <w:tab w:val="left" w:pos="2024"/>
        </w:tabs>
        <w:jc w:val="both"/>
      </w:pPr>
    </w:p>
    <w:p w14:paraId="5938CF55" w14:textId="57017F4D" w:rsidR="00D77847" w:rsidRPr="00E4506A" w:rsidRDefault="00C32F9E" w:rsidP="004C1999">
      <w:pPr>
        <w:tabs>
          <w:tab w:val="left" w:pos="2024"/>
        </w:tabs>
        <w:jc w:val="both"/>
        <w:rPr>
          <w:i/>
          <w:iCs/>
        </w:rPr>
      </w:pPr>
      <w:r w:rsidRPr="00E4506A">
        <w:rPr>
          <w:i/>
          <w:iCs/>
        </w:rPr>
        <w:t>Describe the higher education system and the evaluation of higher education in your country/context (as relevant).</w:t>
      </w:r>
      <w:r w:rsidR="00306C39">
        <w:rPr>
          <w:i/>
          <w:iCs/>
        </w:rPr>
        <w:t xml:space="preserve"> </w:t>
      </w:r>
      <w:r w:rsidR="00306C39" w:rsidRPr="00306C39">
        <w:rPr>
          <w:i/>
          <w:iCs/>
        </w:rPr>
        <w:t>Among others, the section should list general legal framework for higher education and the higher education degree structure used, ratio between public and private higher education providers, number of higher education institutions within the system (where relevant) and an overall number of students (including a brief reflection on trends in terms of the size of student population.</w:t>
      </w:r>
    </w:p>
    <w:p w14:paraId="4F880E6B" w14:textId="319E0BAC" w:rsidR="005C4177" w:rsidRDefault="005C4177" w:rsidP="004C1999">
      <w:pPr>
        <w:tabs>
          <w:tab w:val="left" w:pos="2024"/>
        </w:tabs>
        <w:jc w:val="both"/>
      </w:pPr>
    </w:p>
    <w:p w14:paraId="17328613" w14:textId="32B31353" w:rsidR="005C4177" w:rsidRDefault="005C4177" w:rsidP="004C1999">
      <w:pPr>
        <w:pStyle w:val="ListParagraph"/>
        <w:numPr>
          <w:ilvl w:val="0"/>
          <w:numId w:val="1"/>
        </w:numPr>
        <w:tabs>
          <w:tab w:val="left" w:pos="2024"/>
        </w:tabs>
        <w:jc w:val="both"/>
      </w:pPr>
      <w:r w:rsidRPr="005C4177">
        <w:t>History, profile and activities of the agency</w:t>
      </w:r>
    </w:p>
    <w:p w14:paraId="07FF7504" w14:textId="6E38D6C5" w:rsidR="005C4177" w:rsidRDefault="005C4177" w:rsidP="004C1999">
      <w:pPr>
        <w:tabs>
          <w:tab w:val="left" w:pos="2024"/>
        </w:tabs>
        <w:jc w:val="both"/>
      </w:pPr>
    </w:p>
    <w:p w14:paraId="159425E0" w14:textId="13A11DE0" w:rsidR="005C4177" w:rsidRPr="00E4506A" w:rsidRDefault="008D6663" w:rsidP="004C1999">
      <w:pPr>
        <w:tabs>
          <w:tab w:val="left" w:pos="2024"/>
        </w:tabs>
        <w:jc w:val="both"/>
        <w:rPr>
          <w:i/>
          <w:iCs/>
        </w:rPr>
      </w:pPr>
      <w:r w:rsidRPr="00E4506A">
        <w:rPr>
          <w:i/>
          <w:iCs/>
        </w:rPr>
        <w:t xml:space="preserve">Describe the history, profile and all activities of the agency (including </w:t>
      </w:r>
      <w:r w:rsidR="008B3FAD">
        <w:rPr>
          <w:i/>
          <w:iCs/>
        </w:rPr>
        <w:t>its</w:t>
      </w:r>
      <w:r w:rsidR="000D676F" w:rsidRPr="00E4506A">
        <w:rPr>
          <w:i/>
          <w:iCs/>
        </w:rPr>
        <w:t xml:space="preserve"> </w:t>
      </w:r>
      <w:r w:rsidRPr="00E4506A">
        <w:rPr>
          <w:i/>
          <w:iCs/>
        </w:rPr>
        <w:t>quality assurance activities) as well as the agency’s position and status in the national context (where relevant) and its compliance with the national requirements.</w:t>
      </w:r>
      <w:r w:rsidR="005C5E09" w:rsidRPr="00E4506A">
        <w:rPr>
          <w:i/>
          <w:iCs/>
        </w:rPr>
        <w:t xml:space="preserve"> Make sure to provide information on the agency’s international </w:t>
      </w:r>
      <w:r w:rsidR="00861A00" w:rsidRPr="00E4506A">
        <w:rPr>
          <w:i/>
          <w:iCs/>
        </w:rPr>
        <w:t xml:space="preserve">(cross-border) </w:t>
      </w:r>
      <w:r w:rsidR="005C5E09" w:rsidRPr="00E4506A">
        <w:rPr>
          <w:i/>
          <w:iCs/>
        </w:rPr>
        <w:t>external QA activities, if applicable.</w:t>
      </w:r>
      <w:r w:rsidR="00B64D75" w:rsidRPr="00E4506A">
        <w:rPr>
          <w:i/>
          <w:iCs/>
        </w:rPr>
        <w:t xml:space="preserve"> </w:t>
      </w:r>
      <w:r w:rsidR="00A641D0" w:rsidRPr="00E4506A">
        <w:rPr>
          <w:i/>
          <w:iCs/>
        </w:rPr>
        <w:t>Finally, b</w:t>
      </w:r>
      <w:r w:rsidR="00B64D75" w:rsidRPr="00E4506A">
        <w:rPr>
          <w:i/>
          <w:iCs/>
        </w:rPr>
        <w:t>riefly introduce the agency</w:t>
      </w:r>
      <w:r w:rsidR="00D049B0" w:rsidRPr="00E4506A">
        <w:rPr>
          <w:i/>
          <w:iCs/>
        </w:rPr>
        <w:t>’</w:t>
      </w:r>
      <w:r w:rsidR="00B64D75" w:rsidRPr="00E4506A">
        <w:rPr>
          <w:i/>
          <w:iCs/>
        </w:rPr>
        <w:t xml:space="preserve">s </w:t>
      </w:r>
      <w:r w:rsidR="00D049B0" w:rsidRPr="00E4506A">
        <w:rPr>
          <w:i/>
          <w:iCs/>
        </w:rPr>
        <w:t xml:space="preserve">engagement in international </w:t>
      </w:r>
      <w:r w:rsidR="002400BD" w:rsidRPr="00E4506A">
        <w:rPr>
          <w:i/>
          <w:iCs/>
        </w:rPr>
        <w:t>activities</w:t>
      </w:r>
      <w:r w:rsidR="000A219D" w:rsidRPr="00E4506A">
        <w:rPr>
          <w:i/>
          <w:iCs/>
        </w:rPr>
        <w:t xml:space="preserve">, </w:t>
      </w:r>
      <w:r w:rsidR="005E5029" w:rsidRPr="00E4506A">
        <w:rPr>
          <w:i/>
          <w:iCs/>
        </w:rPr>
        <w:t>to the extent relevant for understanding the agency</w:t>
      </w:r>
      <w:r w:rsidR="00995806" w:rsidRPr="00E4506A">
        <w:rPr>
          <w:i/>
          <w:iCs/>
        </w:rPr>
        <w:t>’</w:t>
      </w:r>
      <w:r w:rsidR="005E5029" w:rsidRPr="00E4506A">
        <w:rPr>
          <w:i/>
          <w:iCs/>
        </w:rPr>
        <w:t>s profile</w:t>
      </w:r>
      <w:r w:rsidR="00995806" w:rsidRPr="00E4506A">
        <w:rPr>
          <w:i/>
          <w:iCs/>
        </w:rPr>
        <w:t xml:space="preserve"> (e.g., external relations abroad, membership in international networks</w:t>
      </w:r>
      <w:r w:rsidR="00BF0694" w:rsidRPr="00E4506A">
        <w:rPr>
          <w:i/>
          <w:iCs/>
        </w:rPr>
        <w:t>, involvement in international projects</w:t>
      </w:r>
      <w:r w:rsidR="00F06AEC" w:rsidRPr="00E4506A">
        <w:rPr>
          <w:i/>
          <w:iCs/>
        </w:rPr>
        <w:t xml:space="preserve"> and </w:t>
      </w:r>
      <w:r w:rsidR="006A5CD1" w:rsidRPr="00E4506A">
        <w:rPr>
          <w:i/>
          <w:iCs/>
        </w:rPr>
        <w:t xml:space="preserve">how </w:t>
      </w:r>
      <w:r w:rsidR="00F06AEC" w:rsidRPr="00E4506A">
        <w:rPr>
          <w:i/>
          <w:iCs/>
        </w:rPr>
        <w:t xml:space="preserve">such </w:t>
      </w:r>
      <w:r w:rsidR="006A5CD1" w:rsidRPr="00E4506A">
        <w:rPr>
          <w:i/>
          <w:iCs/>
        </w:rPr>
        <w:t>project work</w:t>
      </w:r>
      <w:r w:rsidR="00F06AEC" w:rsidRPr="00E4506A">
        <w:rPr>
          <w:i/>
          <w:iCs/>
        </w:rPr>
        <w:t xml:space="preserve"> fits the agency</w:t>
      </w:r>
      <w:r w:rsidR="006A5CD1" w:rsidRPr="00E4506A">
        <w:rPr>
          <w:i/>
          <w:iCs/>
        </w:rPr>
        <w:t>’</w:t>
      </w:r>
      <w:r w:rsidR="00F06AEC" w:rsidRPr="00E4506A">
        <w:rPr>
          <w:i/>
          <w:iCs/>
        </w:rPr>
        <w:t>s</w:t>
      </w:r>
      <w:r w:rsidR="006A5CD1" w:rsidRPr="00E4506A">
        <w:rPr>
          <w:i/>
          <w:iCs/>
        </w:rPr>
        <w:t xml:space="preserve"> overall strategy).</w:t>
      </w:r>
    </w:p>
    <w:p w14:paraId="335DE3DC" w14:textId="33FB2F83" w:rsidR="00A6486E" w:rsidRPr="00E4506A" w:rsidRDefault="00A6486E" w:rsidP="004C1999">
      <w:pPr>
        <w:tabs>
          <w:tab w:val="left" w:pos="2024"/>
        </w:tabs>
        <w:jc w:val="both"/>
      </w:pPr>
    </w:p>
    <w:p w14:paraId="465A7E18" w14:textId="5FAD718E" w:rsidR="00A6486E" w:rsidRPr="00E4506A" w:rsidRDefault="00A6486E" w:rsidP="004C1999">
      <w:pPr>
        <w:tabs>
          <w:tab w:val="left" w:pos="2024"/>
        </w:tabs>
        <w:jc w:val="both"/>
        <w:rPr>
          <w:i/>
          <w:iCs/>
        </w:rPr>
      </w:pPr>
      <w:r w:rsidRPr="00E4506A">
        <w:rPr>
          <w:i/>
          <w:iCs/>
        </w:rPr>
        <w:t xml:space="preserve">The agency’s quality assurances activities should be presented in this chapter in a brief manner, elaborating primarily on the aims and objectives of each activity and how these activities fit the agency’s profile. A more detailed description of quality assurance activities that fall </w:t>
      </w:r>
      <w:r w:rsidRPr="001217C1">
        <w:rPr>
          <w:i/>
          <w:iCs/>
        </w:rPr>
        <w:t xml:space="preserve">under the ESG is then provided in section </w:t>
      </w:r>
      <w:r w:rsidR="001217C1" w:rsidRPr="001217C1">
        <w:rPr>
          <w:i/>
          <w:iCs/>
        </w:rPr>
        <w:t>5.1</w:t>
      </w:r>
      <w:r w:rsidRPr="001217C1">
        <w:rPr>
          <w:i/>
          <w:iCs/>
        </w:rPr>
        <w:t>.</w:t>
      </w:r>
    </w:p>
    <w:p w14:paraId="47876E4E" w14:textId="319F819A" w:rsidR="00C32F9E" w:rsidRDefault="00C32F9E" w:rsidP="004C1999">
      <w:pPr>
        <w:tabs>
          <w:tab w:val="left" w:pos="2024"/>
        </w:tabs>
        <w:jc w:val="both"/>
      </w:pPr>
    </w:p>
    <w:p w14:paraId="4F3BAD90" w14:textId="70AAEB54" w:rsidR="00C32F9E" w:rsidRDefault="00322737" w:rsidP="004C1999">
      <w:pPr>
        <w:pStyle w:val="ListParagraph"/>
        <w:numPr>
          <w:ilvl w:val="0"/>
          <w:numId w:val="1"/>
        </w:numPr>
        <w:tabs>
          <w:tab w:val="left" w:pos="2024"/>
        </w:tabs>
        <w:jc w:val="both"/>
      </w:pPr>
      <w:r w:rsidRPr="00322737">
        <w:t xml:space="preserve">Profile, functioning and (EQA) activities of the agency </w:t>
      </w:r>
      <w:r w:rsidR="00C609F6">
        <w:t>(</w:t>
      </w:r>
      <w:r w:rsidR="00F96EB5">
        <w:t>compliance with Part 3 of the ESG)</w:t>
      </w:r>
    </w:p>
    <w:p w14:paraId="5E0FD30B" w14:textId="20203A52" w:rsidR="00F96EB5" w:rsidRDefault="00F96EB5" w:rsidP="004C1999">
      <w:pPr>
        <w:tabs>
          <w:tab w:val="left" w:pos="2024"/>
        </w:tabs>
        <w:jc w:val="both"/>
      </w:pPr>
    </w:p>
    <w:p w14:paraId="0F6A0FCB" w14:textId="1A93058D" w:rsidR="00F96EB5" w:rsidRPr="00E4506A" w:rsidRDefault="007D1599" w:rsidP="004C1999">
      <w:pPr>
        <w:tabs>
          <w:tab w:val="left" w:pos="2024"/>
        </w:tabs>
        <w:jc w:val="both"/>
        <w:rPr>
          <w:i/>
          <w:iCs/>
        </w:rPr>
      </w:pPr>
      <w:r w:rsidRPr="00E4506A">
        <w:rPr>
          <w:i/>
          <w:iCs/>
        </w:rPr>
        <w:t xml:space="preserve">This chapter addresses the </w:t>
      </w:r>
      <w:r w:rsidR="0063152C" w:rsidRPr="00E4506A">
        <w:rPr>
          <w:i/>
          <w:iCs/>
        </w:rPr>
        <w:t xml:space="preserve">agency’s </w:t>
      </w:r>
      <w:r w:rsidRPr="00E4506A">
        <w:rPr>
          <w:i/>
          <w:iCs/>
        </w:rPr>
        <w:t>compliance with each standard of Part 3 of the ESG individually for each</w:t>
      </w:r>
      <w:r w:rsidR="007E5488" w:rsidRPr="00E4506A">
        <w:rPr>
          <w:i/>
          <w:iCs/>
        </w:rPr>
        <w:t xml:space="preserve"> different </w:t>
      </w:r>
      <w:r w:rsidRPr="00E4506A">
        <w:rPr>
          <w:i/>
          <w:iCs/>
        </w:rPr>
        <w:t>QA activity of the agency. In case the procedure for cross-border QA differ</w:t>
      </w:r>
      <w:r w:rsidR="00C445B8" w:rsidRPr="00E4506A">
        <w:rPr>
          <w:i/>
          <w:iCs/>
        </w:rPr>
        <w:t>s</w:t>
      </w:r>
      <w:r w:rsidRPr="00E4506A">
        <w:rPr>
          <w:i/>
          <w:iCs/>
        </w:rPr>
        <w:t>, this should be described here as well. Each sub-chapter concludes with a brief critical reflection on the presented facts.</w:t>
      </w:r>
    </w:p>
    <w:p w14:paraId="6985777C" w14:textId="77777777" w:rsidR="00CC04D9" w:rsidRDefault="00CC04D9" w:rsidP="004C1999">
      <w:pPr>
        <w:tabs>
          <w:tab w:val="left" w:pos="2024"/>
        </w:tabs>
        <w:jc w:val="both"/>
      </w:pPr>
    </w:p>
    <w:p w14:paraId="1F87AAD1" w14:textId="72D1741E" w:rsidR="00AB1BC1" w:rsidRDefault="00283E3F" w:rsidP="004C1999">
      <w:pPr>
        <w:pStyle w:val="ListParagraph"/>
        <w:numPr>
          <w:ilvl w:val="1"/>
          <w:numId w:val="1"/>
        </w:numPr>
        <w:tabs>
          <w:tab w:val="left" w:pos="2024"/>
        </w:tabs>
        <w:jc w:val="both"/>
      </w:pPr>
      <w:r w:rsidRPr="00283E3F">
        <w:t>ESG Standard 3.1 Activities, policy and processes for quality assurance</w:t>
      </w:r>
    </w:p>
    <w:p w14:paraId="4555865E" w14:textId="7D108CFA" w:rsidR="00283E3F" w:rsidRDefault="00283E3F" w:rsidP="004C1999">
      <w:pPr>
        <w:tabs>
          <w:tab w:val="left" w:pos="2024"/>
        </w:tabs>
        <w:jc w:val="both"/>
      </w:pPr>
    </w:p>
    <w:p w14:paraId="7EFD41EF" w14:textId="1A6FAF47" w:rsidR="00283E3F" w:rsidRPr="00E4506A" w:rsidRDefault="007B7D3E" w:rsidP="004C1999">
      <w:pPr>
        <w:tabs>
          <w:tab w:val="left" w:pos="2024"/>
        </w:tabs>
        <w:jc w:val="both"/>
        <w:rPr>
          <w:i/>
          <w:iCs/>
        </w:rPr>
      </w:pPr>
      <w:r w:rsidRPr="00E4506A">
        <w:rPr>
          <w:i/>
          <w:iCs/>
        </w:rPr>
        <w:lastRenderedPageBreak/>
        <w:t>Reflect on the requirements of the standard. Clearly define each external QA activity as undertaken by the agency, including the agency’s possible cross-border QA activities. Provide a table that summarises how many procedures per each EQA activity were implemented per year (for the last five years).</w:t>
      </w:r>
    </w:p>
    <w:p w14:paraId="49A3E95F" w14:textId="303CAC4B" w:rsidR="008E5F57" w:rsidRDefault="008E5F57" w:rsidP="004C1999">
      <w:pPr>
        <w:tabs>
          <w:tab w:val="left" w:pos="2024"/>
        </w:tabs>
        <w:jc w:val="both"/>
      </w:pPr>
    </w:p>
    <w:p w14:paraId="5F7E6638" w14:textId="40C7228A" w:rsidR="008E5F57" w:rsidRDefault="008E5F57" w:rsidP="004C1999">
      <w:pPr>
        <w:pStyle w:val="ListParagraph"/>
        <w:numPr>
          <w:ilvl w:val="1"/>
          <w:numId w:val="1"/>
        </w:numPr>
        <w:tabs>
          <w:tab w:val="left" w:pos="2024"/>
        </w:tabs>
        <w:jc w:val="both"/>
      </w:pPr>
      <w:r w:rsidRPr="008E5F57">
        <w:t>ESG Standard 3.2 Official status</w:t>
      </w:r>
    </w:p>
    <w:p w14:paraId="3284E126" w14:textId="77777777" w:rsidR="00E4506A" w:rsidRDefault="00E4506A" w:rsidP="004C1999">
      <w:pPr>
        <w:tabs>
          <w:tab w:val="left" w:pos="2024"/>
        </w:tabs>
        <w:jc w:val="both"/>
      </w:pPr>
    </w:p>
    <w:p w14:paraId="34346E3E" w14:textId="478F04A7" w:rsidR="00743E5C" w:rsidRDefault="00743E5C" w:rsidP="004C1999">
      <w:pPr>
        <w:pStyle w:val="ListParagraph"/>
        <w:numPr>
          <w:ilvl w:val="1"/>
          <w:numId w:val="1"/>
        </w:numPr>
        <w:tabs>
          <w:tab w:val="left" w:pos="2024"/>
        </w:tabs>
        <w:jc w:val="both"/>
      </w:pPr>
      <w:r w:rsidRPr="00144B17">
        <w:t>ESG Standard 3.3 Independence</w:t>
      </w:r>
    </w:p>
    <w:p w14:paraId="55A92D18" w14:textId="5633D4C6" w:rsidR="006C38FE" w:rsidRDefault="006C38FE" w:rsidP="004C1999">
      <w:pPr>
        <w:tabs>
          <w:tab w:val="left" w:pos="2024"/>
        </w:tabs>
        <w:jc w:val="both"/>
      </w:pPr>
    </w:p>
    <w:p w14:paraId="1D768EB7" w14:textId="72853A14" w:rsidR="006C38FE" w:rsidRPr="00E4506A" w:rsidRDefault="006C38FE" w:rsidP="004C1999">
      <w:pPr>
        <w:tabs>
          <w:tab w:val="left" w:pos="2024"/>
        </w:tabs>
        <w:jc w:val="both"/>
        <w:rPr>
          <w:i/>
          <w:iCs/>
        </w:rPr>
      </w:pPr>
      <w:r w:rsidRPr="00E4506A">
        <w:rPr>
          <w:i/>
          <w:iCs/>
        </w:rPr>
        <w:t>Reflect separately on all three aspects of independence as defined in the guidelines of the ESG 3.3: organisational and operational independence and independence of formal outcomes.</w:t>
      </w:r>
    </w:p>
    <w:p w14:paraId="7C120A92" w14:textId="5B2C863D" w:rsidR="00AB1BD4" w:rsidRDefault="00AB1BD4" w:rsidP="004C1999">
      <w:pPr>
        <w:tabs>
          <w:tab w:val="left" w:pos="2024"/>
        </w:tabs>
        <w:jc w:val="both"/>
      </w:pPr>
    </w:p>
    <w:p w14:paraId="119D599B" w14:textId="185D0EBC" w:rsidR="00E4506A" w:rsidRDefault="00AB1BD4" w:rsidP="004C1999">
      <w:pPr>
        <w:pStyle w:val="ListParagraph"/>
        <w:numPr>
          <w:ilvl w:val="1"/>
          <w:numId w:val="1"/>
        </w:numPr>
        <w:tabs>
          <w:tab w:val="left" w:pos="2024"/>
        </w:tabs>
        <w:jc w:val="both"/>
      </w:pPr>
      <w:r w:rsidRPr="00AB1BD4">
        <w:t>ESG Standard 3.4 Thematic analysis</w:t>
      </w:r>
    </w:p>
    <w:p w14:paraId="450B0150" w14:textId="77777777" w:rsidR="00E4506A" w:rsidRDefault="00E4506A" w:rsidP="004C1999">
      <w:pPr>
        <w:tabs>
          <w:tab w:val="left" w:pos="2024"/>
        </w:tabs>
        <w:jc w:val="both"/>
      </w:pPr>
    </w:p>
    <w:p w14:paraId="5C15B438" w14:textId="68294087" w:rsidR="00E4506A" w:rsidRDefault="00E4506A" w:rsidP="004C1999">
      <w:pPr>
        <w:pStyle w:val="ListParagraph"/>
        <w:numPr>
          <w:ilvl w:val="1"/>
          <w:numId w:val="1"/>
        </w:numPr>
        <w:tabs>
          <w:tab w:val="left" w:pos="2024"/>
        </w:tabs>
        <w:jc w:val="both"/>
      </w:pPr>
      <w:r w:rsidRPr="00354F9D">
        <w:t>ESG Standard 3.5 Resources</w:t>
      </w:r>
    </w:p>
    <w:p w14:paraId="33DDAF04" w14:textId="5A8FF129" w:rsidR="0022380E" w:rsidRDefault="0022380E" w:rsidP="004C1999">
      <w:pPr>
        <w:tabs>
          <w:tab w:val="left" w:pos="2024"/>
        </w:tabs>
        <w:jc w:val="both"/>
      </w:pPr>
    </w:p>
    <w:p w14:paraId="5F23A163" w14:textId="18FBA3C9" w:rsidR="0022380E" w:rsidRPr="00E4506A" w:rsidRDefault="0022380E" w:rsidP="004C1999">
      <w:pPr>
        <w:tabs>
          <w:tab w:val="left" w:pos="2024"/>
        </w:tabs>
        <w:jc w:val="both"/>
        <w:rPr>
          <w:i/>
          <w:iCs/>
        </w:rPr>
      </w:pPr>
      <w:r w:rsidRPr="00E4506A">
        <w:rPr>
          <w:i/>
          <w:iCs/>
        </w:rPr>
        <w:t>Reflect separately on human and financial resources</w:t>
      </w:r>
      <w:r w:rsidR="00A41004">
        <w:rPr>
          <w:i/>
          <w:iCs/>
        </w:rPr>
        <w:t xml:space="preserve"> (for the latter, elaborate on </w:t>
      </w:r>
      <w:r w:rsidR="00A41004" w:rsidRPr="00A41004">
        <w:rPr>
          <w:i/>
          <w:iCs/>
        </w:rPr>
        <w:t xml:space="preserve">sources of revenue and </w:t>
      </w:r>
      <w:r w:rsidR="00A41004">
        <w:rPr>
          <w:i/>
          <w:iCs/>
        </w:rPr>
        <w:t>the agency’s</w:t>
      </w:r>
      <w:r w:rsidR="00A41004" w:rsidRPr="00A41004">
        <w:rPr>
          <w:i/>
          <w:iCs/>
        </w:rPr>
        <w:t xml:space="preserve"> main items of expenditure, and the overall change in the budget size in the last five years</w:t>
      </w:r>
      <w:r w:rsidR="00A41004">
        <w:rPr>
          <w:i/>
          <w:iCs/>
        </w:rPr>
        <w:t>).</w:t>
      </w:r>
    </w:p>
    <w:p w14:paraId="5291E391" w14:textId="41D411CF" w:rsidR="0022380E" w:rsidRDefault="0022380E" w:rsidP="004C1999">
      <w:pPr>
        <w:tabs>
          <w:tab w:val="left" w:pos="2024"/>
        </w:tabs>
        <w:jc w:val="both"/>
      </w:pPr>
    </w:p>
    <w:p w14:paraId="290CD545" w14:textId="4C8CBE8A" w:rsidR="00E4506A" w:rsidRDefault="00953346" w:rsidP="004C1999">
      <w:pPr>
        <w:pStyle w:val="ListParagraph"/>
        <w:numPr>
          <w:ilvl w:val="1"/>
          <w:numId w:val="1"/>
        </w:numPr>
        <w:tabs>
          <w:tab w:val="left" w:pos="2024"/>
        </w:tabs>
        <w:jc w:val="both"/>
      </w:pPr>
      <w:r w:rsidRPr="00953346">
        <w:t>ESG Standard 3.6 Internal quality assurance and professional conduct</w:t>
      </w:r>
    </w:p>
    <w:p w14:paraId="4E768A4D" w14:textId="77777777" w:rsidR="00E4506A" w:rsidRDefault="00E4506A" w:rsidP="004C1999">
      <w:pPr>
        <w:tabs>
          <w:tab w:val="left" w:pos="2024"/>
        </w:tabs>
        <w:jc w:val="both"/>
      </w:pPr>
    </w:p>
    <w:p w14:paraId="40B23FE5" w14:textId="52913E38" w:rsidR="00E4506A" w:rsidRDefault="00E4506A" w:rsidP="004C1999">
      <w:pPr>
        <w:pStyle w:val="ListParagraph"/>
        <w:numPr>
          <w:ilvl w:val="1"/>
          <w:numId w:val="1"/>
        </w:numPr>
        <w:tabs>
          <w:tab w:val="left" w:pos="2024"/>
        </w:tabs>
        <w:jc w:val="both"/>
      </w:pPr>
      <w:r w:rsidRPr="00392BB3">
        <w:t>ESG Standard 3.7 Cyclical external review of agencies</w:t>
      </w:r>
    </w:p>
    <w:p w14:paraId="51A70B91" w14:textId="1073A700" w:rsidR="00392BB3" w:rsidRDefault="00392BB3" w:rsidP="004C1999">
      <w:pPr>
        <w:tabs>
          <w:tab w:val="left" w:pos="2024"/>
        </w:tabs>
        <w:jc w:val="both"/>
      </w:pPr>
    </w:p>
    <w:p w14:paraId="3FDA5F00" w14:textId="0AAE5BF7" w:rsidR="00392BB3" w:rsidRDefault="003B224D" w:rsidP="004C1999">
      <w:pPr>
        <w:pStyle w:val="ListParagraph"/>
        <w:numPr>
          <w:ilvl w:val="0"/>
          <w:numId w:val="1"/>
        </w:numPr>
        <w:tabs>
          <w:tab w:val="left" w:pos="2024"/>
        </w:tabs>
        <w:jc w:val="both"/>
      </w:pPr>
      <w:r w:rsidRPr="003B224D">
        <w:t>Design and implementation of the agency’s EQA activities</w:t>
      </w:r>
      <w:r>
        <w:t xml:space="preserve"> (compliance with Part 2 of he ESG)</w:t>
      </w:r>
    </w:p>
    <w:p w14:paraId="3C1FD553" w14:textId="2C47A812" w:rsidR="003B224D" w:rsidRDefault="003B224D" w:rsidP="004C1999">
      <w:pPr>
        <w:tabs>
          <w:tab w:val="left" w:pos="2024"/>
        </w:tabs>
        <w:jc w:val="both"/>
      </w:pPr>
    </w:p>
    <w:p w14:paraId="540788FD" w14:textId="69A4C95A" w:rsidR="003B224D" w:rsidRPr="001217C1" w:rsidRDefault="00B07203" w:rsidP="004C1999">
      <w:pPr>
        <w:tabs>
          <w:tab w:val="left" w:pos="2024"/>
        </w:tabs>
        <w:jc w:val="both"/>
        <w:rPr>
          <w:i/>
          <w:iCs/>
        </w:rPr>
      </w:pPr>
      <w:r w:rsidRPr="001217C1">
        <w:rPr>
          <w:i/>
          <w:iCs/>
        </w:rPr>
        <w:t>This chapter Aaddresses the compliance with each standard of Part 2 of the ESG individually for each different EQA activity of the agency. In case the procedure for cross-border QA differs, please describe it here as well. Each sub-chapter concludes with a brief critical reflection on the presented facts.</w:t>
      </w:r>
    </w:p>
    <w:p w14:paraId="71CD6DAA" w14:textId="70F50924" w:rsidR="00B07203" w:rsidRDefault="00B07203" w:rsidP="004C1999">
      <w:pPr>
        <w:tabs>
          <w:tab w:val="left" w:pos="2024"/>
        </w:tabs>
        <w:jc w:val="both"/>
      </w:pPr>
    </w:p>
    <w:p w14:paraId="036CA9FC" w14:textId="24AA72A4" w:rsidR="00B07203" w:rsidRDefault="00833D3A" w:rsidP="004C1999">
      <w:pPr>
        <w:pStyle w:val="ListParagraph"/>
        <w:numPr>
          <w:ilvl w:val="1"/>
          <w:numId w:val="1"/>
        </w:numPr>
        <w:tabs>
          <w:tab w:val="left" w:pos="2024"/>
        </w:tabs>
        <w:jc w:val="both"/>
      </w:pPr>
      <w:r w:rsidRPr="00833D3A">
        <w:t>ESG Standard 2.1 Consideration of internal quality assurance</w:t>
      </w:r>
    </w:p>
    <w:p w14:paraId="0836925C" w14:textId="30998FF7" w:rsidR="00542434" w:rsidRDefault="00542434" w:rsidP="004C1999">
      <w:pPr>
        <w:tabs>
          <w:tab w:val="left" w:pos="2024"/>
        </w:tabs>
        <w:jc w:val="both"/>
      </w:pPr>
    </w:p>
    <w:p w14:paraId="0E34C795" w14:textId="107D02EB" w:rsidR="00542434" w:rsidRPr="00186314" w:rsidRDefault="00542434" w:rsidP="004C1999">
      <w:pPr>
        <w:tabs>
          <w:tab w:val="left" w:pos="2024"/>
        </w:tabs>
        <w:jc w:val="both"/>
        <w:rPr>
          <w:i/>
          <w:iCs/>
        </w:rPr>
      </w:pPr>
      <w:r w:rsidRPr="00186314">
        <w:rPr>
          <w:i/>
          <w:iCs/>
        </w:rPr>
        <w:t>Provide a mapping grid that summarises how each EQA activity meets the standards of Part 1 of the ESG.</w:t>
      </w:r>
    </w:p>
    <w:p w14:paraId="26E5B3FC" w14:textId="55369061" w:rsidR="00542434" w:rsidRDefault="00542434" w:rsidP="004C1999">
      <w:pPr>
        <w:tabs>
          <w:tab w:val="left" w:pos="2024"/>
        </w:tabs>
        <w:jc w:val="both"/>
      </w:pPr>
    </w:p>
    <w:p w14:paraId="4CA72157" w14:textId="1E88CBD1" w:rsidR="00186314" w:rsidRDefault="00CC7312" w:rsidP="004C1999">
      <w:pPr>
        <w:pStyle w:val="ListParagraph"/>
        <w:numPr>
          <w:ilvl w:val="1"/>
          <w:numId w:val="1"/>
        </w:numPr>
        <w:tabs>
          <w:tab w:val="left" w:pos="2024"/>
        </w:tabs>
        <w:jc w:val="both"/>
      </w:pPr>
      <w:r>
        <w:t>ESG Standard 2.2 Designing methodologies fit for purpose</w:t>
      </w:r>
    </w:p>
    <w:p w14:paraId="00FFE2E7" w14:textId="77777777" w:rsidR="00186314" w:rsidRDefault="00186314" w:rsidP="004C1999">
      <w:pPr>
        <w:tabs>
          <w:tab w:val="left" w:pos="2024"/>
        </w:tabs>
        <w:jc w:val="both"/>
      </w:pPr>
    </w:p>
    <w:p w14:paraId="0F2CED66" w14:textId="5BC9A465" w:rsidR="00186314" w:rsidRDefault="00CC7312" w:rsidP="004C1999">
      <w:pPr>
        <w:pStyle w:val="ListParagraph"/>
        <w:numPr>
          <w:ilvl w:val="1"/>
          <w:numId w:val="1"/>
        </w:numPr>
        <w:tabs>
          <w:tab w:val="left" w:pos="2024"/>
        </w:tabs>
        <w:jc w:val="both"/>
      </w:pPr>
      <w:r>
        <w:t>ESG Standard 2.3 Implementing processes</w:t>
      </w:r>
    </w:p>
    <w:p w14:paraId="61B48D62" w14:textId="77777777" w:rsidR="00186314" w:rsidRDefault="00186314" w:rsidP="004C1999">
      <w:pPr>
        <w:tabs>
          <w:tab w:val="left" w:pos="2024"/>
        </w:tabs>
        <w:jc w:val="both"/>
      </w:pPr>
    </w:p>
    <w:p w14:paraId="711422EE" w14:textId="73FF23A7" w:rsidR="00186314" w:rsidRDefault="00CC7312" w:rsidP="004C1999">
      <w:pPr>
        <w:pStyle w:val="ListParagraph"/>
        <w:numPr>
          <w:ilvl w:val="1"/>
          <w:numId w:val="1"/>
        </w:numPr>
        <w:tabs>
          <w:tab w:val="left" w:pos="2024"/>
        </w:tabs>
        <w:jc w:val="both"/>
      </w:pPr>
      <w:r>
        <w:t>ESG Standard 2.4 Peer-review experts</w:t>
      </w:r>
    </w:p>
    <w:p w14:paraId="1E07A093" w14:textId="77777777" w:rsidR="00186314" w:rsidRDefault="00186314" w:rsidP="004C1999">
      <w:pPr>
        <w:tabs>
          <w:tab w:val="left" w:pos="2024"/>
        </w:tabs>
        <w:jc w:val="both"/>
      </w:pPr>
    </w:p>
    <w:p w14:paraId="013568FD" w14:textId="59A12361" w:rsidR="00186314" w:rsidRDefault="00CC7312" w:rsidP="004C1999">
      <w:pPr>
        <w:pStyle w:val="ListParagraph"/>
        <w:numPr>
          <w:ilvl w:val="1"/>
          <w:numId w:val="1"/>
        </w:numPr>
        <w:tabs>
          <w:tab w:val="left" w:pos="2024"/>
        </w:tabs>
        <w:jc w:val="both"/>
      </w:pPr>
      <w:r>
        <w:t>ESG Standard 2.5 Criteria for outcomes</w:t>
      </w:r>
    </w:p>
    <w:p w14:paraId="15D7265E" w14:textId="77777777" w:rsidR="00186314" w:rsidRDefault="00186314" w:rsidP="004C1999">
      <w:pPr>
        <w:tabs>
          <w:tab w:val="left" w:pos="2024"/>
        </w:tabs>
        <w:jc w:val="both"/>
      </w:pPr>
    </w:p>
    <w:p w14:paraId="1CE529FF" w14:textId="344CA6F6" w:rsidR="00186314" w:rsidRDefault="00CC7312" w:rsidP="004C1999">
      <w:pPr>
        <w:pStyle w:val="ListParagraph"/>
        <w:numPr>
          <w:ilvl w:val="1"/>
          <w:numId w:val="1"/>
        </w:numPr>
        <w:tabs>
          <w:tab w:val="left" w:pos="2024"/>
        </w:tabs>
        <w:jc w:val="both"/>
      </w:pPr>
      <w:r>
        <w:t>ESG Standard 2.6 Reporting</w:t>
      </w:r>
    </w:p>
    <w:p w14:paraId="7BAE05BB" w14:textId="77777777" w:rsidR="00186314" w:rsidRDefault="00186314" w:rsidP="004C1999">
      <w:pPr>
        <w:tabs>
          <w:tab w:val="left" w:pos="2024"/>
        </w:tabs>
        <w:jc w:val="both"/>
      </w:pPr>
    </w:p>
    <w:p w14:paraId="294DBE2B" w14:textId="06238D02" w:rsidR="00542434" w:rsidRDefault="00CC7312" w:rsidP="004C1999">
      <w:pPr>
        <w:pStyle w:val="ListParagraph"/>
        <w:numPr>
          <w:ilvl w:val="1"/>
          <w:numId w:val="1"/>
        </w:numPr>
        <w:tabs>
          <w:tab w:val="left" w:pos="2024"/>
        </w:tabs>
        <w:jc w:val="both"/>
      </w:pPr>
      <w:r>
        <w:lastRenderedPageBreak/>
        <w:t>ESG Standard 2.7 Complaints and appeals</w:t>
      </w:r>
    </w:p>
    <w:p w14:paraId="4B6AE6C5" w14:textId="5F23FEF0" w:rsidR="00CC7312" w:rsidRDefault="00CC7312" w:rsidP="004C1999">
      <w:pPr>
        <w:tabs>
          <w:tab w:val="left" w:pos="2024"/>
        </w:tabs>
        <w:jc w:val="both"/>
      </w:pPr>
    </w:p>
    <w:p w14:paraId="02F82232" w14:textId="7C901109" w:rsidR="00CC7312" w:rsidRPr="00186314" w:rsidRDefault="00A877DD" w:rsidP="004C1999">
      <w:pPr>
        <w:tabs>
          <w:tab w:val="left" w:pos="2024"/>
        </w:tabs>
        <w:jc w:val="both"/>
        <w:rPr>
          <w:i/>
          <w:iCs/>
        </w:rPr>
      </w:pPr>
      <w:r w:rsidRPr="00186314">
        <w:rPr>
          <w:i/>
          <w:iCs/>
        </w:rPr>
        <w:t>Reflect separately on complaints and appeals.</w:t>
      </w:r>
    </w:p>
    <w:p w14:paraId="3DEA856C" w14:textId="2EBF8095" w:rsidR="00A877DD" w:rsidRDefault="00A877DD" w:rsidP="004C1999">
      <w:pPr>
        <w:tabs>
          <w:tab w:val="left" w:pos="2024"/>
        </w:tabs>
        <w:jc w:val="both"/>
      </w:pPr>
    </w:p>
    <w:p w14:paraId="41AF8C48" w14:textId="31E06BEF" w:rsidR="00A877DD" w:rsidRDefault="009D4E41" w:rsidP="004C1999">
      <w:pPr>
        <w:pStyle w:val="ListParagraph"/>
        <w:numPr>
          <w:ilvl w:val="0"/>
          <w:numId w:val="1"/>
        </w:numPr>
        <w:tabs>
          <w:tab w:val="left" w:pos="2024"/>
        </w:tabs>
        <w:jc w:val="both"/>
      </w:pPr>
      <w:r w:rsidRPr="009D4E41">
        <w:t>Opinions of stakeholders</w:t>
      </w:r>
    </w:p>
    <w:p w14:paraId="09997AE8" w14:textId="77777777" w:rsidR="001A4A75" w:rsidRDefault="001A4A75" w:rsidP="001A4A75">
      <w:pPr>
        <w:tabs>
          <w:tab w:val="left" w:pos="2024"/>
        </w:tabs>
        <w:jc w:val="both"/>
      </w:pPr>
    </w:p>
    <w:p w14:paraId="0E21CC30" w14:textId="2F3FC861" w:rsidR="009D4E41" w:rsidRPr="00186314" w:rsidRDefault="00CB2FD4" w:rsidP="004C1999">
      <w:pPr>
        <w:tabs>
          <w:tab w:val="left" w:pos="2024"/>
        </w:tabs>
        <w:jc w:val="both"/>
        <w:rPr>
          <w:i/>
          <w:iCs/>
        </w:rPr>
      </w:pPr>
      <w:r w:rsidRPr="00186314">
        <w:rPr>
          <w:i/>
          <w:iCs/>
        </w:rPr>
        <w:t>Provide an analysis and critical reflection on stakeholders’ opinions of the agency’s key EQA activities. If an agency already conducts such analysis on a regular basis, a summary of the existing analyses could be used for this section. The results of more substantial analyses can then be added as an annex (e.g., a feedback analysis on the quality and consistency of the agency’s EQA activities in year x).</w:t>
      </w:r>
    </w:p>
    <w:p w14:paraId="3CF6EB29" w14:textId="67A84707" w:rsidR="00CB2FD4" w:rsidRDefault="00CB2FD4" w:rsidP="004C1999">
      <w:pPr>
        <w:tabs>
          <w:tab w:val="left" w:pos="2024"/>
        </w:tabs>
        <w:jc w:val="both"/>
      </w:pPr>
    </w:p>
    <w:p w14:paraId="3DB9CE28" w14:textId="3F2E457D" w:rsidR="00CB2FD4" w:rsidRDefault="00F67A52" w:rsidP="004C1999">
      <w:pPr>
        <w:pStyle w:val="ListParagraph"/>
        <w:numPr>
          <w:ilvl w:val="0"/>
          <w:numId w:val="1"/>
        </w:numPr>
        <w:tabs>
          <w:tab w:val="left" w:pos="2024"/>
        </w:tabs>
        <w:jc w:val="both"/>
      </w:pPr>
      <w:r w:rsidRPr="00F67A52">
        <w:t>Recommendations and main findings from previous review(s) and agency’s resulting follow-up (for second and subsequent reviews only)</w:t>
      </w:r>
    </w:p>
    <w:p w14:paraId="1EA89C08" w14:textId="4576A50A" w:rsidR="00856A55" w:rsidRDefault="00856A55" w:rsidP="004C1999">
      <w:pPr>
        <w:tabs>
          <w:tab w:val="left" w:pos="2024"/>
        </w:tabs>
        <w:jc w:val="both"/>
      </w:pPr>
    </w:p>
    <w:p w14:paraId="73A64B12" w14:textId="45B5451C" w:rsidR="00856A55" w:rsidRPr="004C1999" w:rsidRDefault="00856A55" w:rsidP="004C1999">
      <w:pPr>
        <w:tabs>
          <w:tab w:val="left" w:pos="2024"/>
        </w:tabs>
        <w:jc w:val="both"/>
        <w:rPr>
          <w:i/>
          <w:iCs/>
        </w:rPr>
      </w:pPr>
      <w:r w:rsidRPr="004C1999">
        <w:rPr>
          <w:i/>
          <w:iCs/>
        </w:rPr>
        <w:t>Address the previously made recommendations by the ENQA Board and/or by the review panel and show how the agency has followed-up on them and in a more general approach, provide a short summary of the main findings of the previous review(s) and subsequent actions taken by the agency.</w:t>
      </w:r>
    </w:p>
    <w:p w14:paraId="56292554" w14:textId="0389DF69" w:rsidR="00856A55" w:rsidRDefault="00856A55" w:rsidP="004C1999">
      <w:pPr>
        <w:tabs>
          <w:tab w:val="left" w:pos="2024"/>
        </w:tabs>
        <w:jc w:val="both"/>
      </w:pPr>
    </w:p>
    <w:p w14:paraId="5B4C7517" w14:textId="3DF9E690" w:rsidR="00856A55" w:rsidRDefault="00422E91" w:rsidP="004C1999">
      <w:pPr>
        <w:pStyle w:val="ListParagraph"/>
        <w:numPr>
          <w:ilvl w:val="0"/>
          <w:numId w:val="1"/>
        </w:numPr>
        <w:tabs>
          <w:tab w:val="left" w:pos="2024"/>
        </w:tabs>
        <w:jc w:val="both"/>
      </w:pPr>
      <w:r w:rsidRPr="00422E91">
        <w:t>SWOT analysis</w:t>
      </w:r>
    </w:p>
    <w:p w14:paraId="1D2398D1" w14:textId="79AA5108" w:rsidR="00422E91" w:rsidRDefault="00422E91" w:rsidP="004C1999">
      <w:pPr>
        <w:tabs>
          <w:tab w:val="left" w:pos="2024"/>
        </w:tabs>
        <w:jc w:val="both"/>
      </w:pPr>
    </w:p>
    <w:p w14:paraId="15F38836" w14:textId="1F9F8C17" w:rsidR="00422E91" w:rsidRPr="004C1999" w:rsidRDefault="00327671" w:rsidP="004C1999">
      <w:pPr>
        <w:tabs>
          <w:tab w:val="left" w:pos="2024"/>
        </w:tabs>
        <w:jc w:val="both"/>
        <w:rPr>
          <w:i/>
          <w:iCs/>
        </w:rPr>
      </w:pPr>
      <w:r w:rsidRPr="004C1999">
        <w:rPr>
          <w:i/>
          <w:iCs/>
        </w:rPr>
        <w:t>Analyse the agency’s strengths, weaknesses, opportunities and threats.</w:t>
      </w:r>
    </w:p>
    <w:p w14:paraId="46CE0FEB" w14:textId="6A4581BC" w:rsidR="00327671" w:rsidRDefault="00327671" w:rsidP="004C1999">
      <w:pPr>
        <w:tabs>
          <w:tab w:val="left" w:pos="2024"/>
        </w:tabs>
        <w:jc w:val="both"/>
      </w:pPr>
    </w:p>
    <w:p w14:paraId="078F0190" w14:textId="6545C26D" w:rsidR="00327671" w:rsidRDefault="003D2F42" w:rsidP="004C1999">
      <w:pPr>
        <w:pStyle w:val="ListParagraph"/>
        <w:numPr>
          <w:ilvl w:val="0"/>
          <w:numId w:val="1"/>
        </w:numPr>
        <w:tabs>
          <w:tab w:val="left" w:pos="2024"/>
        </w:tabs>
        <w:jc w:val="both"/>
      </w:pPr>
      <w:r>
        <w:t xml:space="preserve">Key </w:t>
      </w:r>
      <w:r w:rsidRPr="003D2F42">
        <w:t>challenges and areas for future development</w:t>
      </w:r>
    </w:p>
    <w:p w14:paraId="4A06137B" w14:textId="66262721" w:rsidR="00804146" w:rsidRDefault="00804146" w:rsidP="004C1999">
      <w:pPr>
        <w:tabs>
          <w:tab w:val="left" w:pos="2024"/>
        </w:tabs>
        <w:jc w:val="both"/>
      </w:pPr>
    </w:p>
    <w:p w14:paraId="60B807D6" w14:textId="5C820A42" w:rsidR="00804146" w:rsidRDefault="00804146" w:rsidP="004C1999">
      <w:pPr>
        <w:tabs>
          <w:tab w:val="left" w:pos="2024"/>
        </w:tabs>
        <w:jc w:val="both"/>
      </w:pPr>
      <w:r w:rsidRPr="00804146">
        <w:t>Glossary of Terms</w:t>
      </w:r>
    </w:p>
    <w:p w14:paraId="03D06FEE" w14:textId="6E62AACA" w:rsidR="00804146" w:rsidRDefault="00804146" w:rsidP="004C1999">
      <w:pPr>
        <w:tabs>
          <w:tab w:val="left" w:pos="2024"/>
        </w:tabs>
        <w:jc w:val="both"/>
      </w:pPr>
    </w:p>
    <w:p w14:paraId="5A3F0376" w14:textId="586D84DF" w:rsidR="00804146" w:rsidRDefault="00E250D7" w:rsidP="004C1999">
      <w:pPr>
        <w:tabs>
          <w:tab w:val="left" w:pos="2024"/>
        </w:tabs>
        <w:jc w:val="both"/>
      </w:pPr>
      <w:r>
        <w:t>Annexes</w:t>
      </w:r>
    </w:p>
    <w:p w14:paraId="7C8F4523" w14:textId="1F5C3FA9" w:rsidR="00E250D7" w:rsidRDefault="00E250D7" w:rsidP="004C1999">
      <w:pPr>
        <w:tabs>
          <w:tab w:val="left" w:pos="2024"/>
        </w:tabs>
        <w:jc w:val="both"/>
      </w:pPr>
    </w:p>
    <w:p w14:paraId="3102F842" w14:textId="766E053F" w:rsidR="00E250D7" w:rsidRPr="004C1999" w:rsidRDefault="00CB5AA1" w:rsidP="004C1999">
      <w:pPr>
        <w:tabs>
          <w:tab w:val="left" w:pos="2024"/>
        </w:tabs>
        <w:jc w:val="both"/>
        <w:rPr>
          <w:i/>
          <w:iCs/>
        </w:rPr>
      </w:pPr>
      <w:r w:rsidRPr="004C1999">
        <w:rPr>
          <w:i/>
          <w:iCs/>
        </w:rPr>
        <w:t>Enclose the most crucial documentation (within reason) you consider may support the analysis of the report</w:t>
      </w:r>
      <w:r w:rsidR="00B76580" w:rsidRPr="004C1999">
        <w:rPr>
          <w:i/>
          <w:iCs/>
        </w:rPr>
        <w:t>,</w:t>
      </w:r>
      <w:r w:rsidRPr="004C1999">
        <w:rPr>
          <w:i/>
          <w:iCs/>
        </w:rPr>
        <w:t xml:space="preserve"> as well as a recent analysis of feedback received from stakeholders and any cases of complaints and appeals, if applicable.</w:t>
      </w:r>
      <w:r w:rsidR="007B5F60" w:rsidRPr="004C1999">
        <w:rPr>
          <w:i/>
          <w:iCs/>
        </w:rPr>
        <w:t xml:space="preserve"> </w:t>
      </w:r>
      <w:r w:rsidR="00A61C28" w:rsidRPr="004C1999">
        <w:rPr>
          <w:i/>
          <w:iCs/>
        </w:rPr>
        <w:t>These d</w:t>
      </w:r>
      <w:r w:rsidR="007B5F60" w:rsidRPr="004C1999">
        <w:rPr>
          <w:i/>
          <w:iCs/>
        </w:rPr>
        <w:t>ocuments can also be provided in footno</w:t>
      </w:r>
      <w:r w:rsidR="00C84164" w:rsidRPr="004C1999">
        <w:rPr>
          <w:i/>
          <w:iCs/>
        </w:rPr>
        <w:t xml:space="preserve">tes </w:t>
      </w:r>
      <w:r w:rsidR="00962AD8" w:rsidRPr="004C1999">
        <w:rPr>
          <w:i/>
          <w:iCs/>
        </w:rPr>
        <w:t>(with links</w:t>
      </w:r>
      <w:r w:rsidR="00B76580" w:rsidRPr="004C1999">
        <w:rPr>
          <w:i/>
          <w:iCs/>
        </w:rPr>
        <w:t xml:space="preserve">) </w:t>
      </w:r>
      <w:r w:rsidR="00C84164" w:rsidRPr="004C1999">
        <w:rPr>
          <w:i/>
          <w:iCs/>
        </w:rPr>
        <w:t>throughout the self-assessment report</w:t>
      </w:r>
      <w:r w:rsidR="00962AD8" w:rsidRPr="004C1999">
        <w:rPr>
          <w:i/>
          <w:iCs/>
        </w:rPr>
        <w:t>.</w:t>
      </w:r>
    </w:p>
    <w:sectPr w:rsidR="00E250D7" w:rsidRPr="004C1999" w:rsidSect="00414B9E">
      <w:headerReference w:type="default" r:id="rId8"/>
      <w:footerReference w:type="even" r:id="rId9"/>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F2EF" w14:textId="77777777" w:rsidR="00716C25" w:rsidRDefault="00716C25" w:rsidP="00BB3123">
      <w:r>
        <w:separator/>
      </w:r>
    </w:p>
  </w:endnote>
  <w:endnote w:type="continuationSeparator" w:id="0">
    <w:p w14:paraId="14213CF5" w14:textId="77777777" w:rsidR="00716C25" w:rsidRDefault="00716C25" w:rsidP="00BB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5670532"/>
      <w:docPartObj>
        <w:docPartGallery w:val="Page Numbers (Bottom of Page)"/>
        <w:docPartUnique/>
      </w:docPartObj>
    </w:sdtPr>
    <w:sdtContent>
      <w:p w14:paraId="233F1314" w14:textId="77777777" w:rsidR="00467400" w:rsidRDefault="00467400" w:rsidP="00C337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CBB8FD" w14:textId="77777777" w:rsidR="002B460C" w:rsidRDefault="002B460C" w:rsidP="004674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89503"/>
      <w:docPartObj>
        <w:docPartGallery w:val="Page Numbers (Bottom of Page)"/>
        <w:docPartUnique/>
      </w:docPartObj>
    </w:sdtPr>
    <w:sdtEndPr>
      <w:rPr>
        <w:noProof/>
      </w:rPr>
    </w:sdtEndPr>
    <w:sdtContent>
      <w:p w14:paraId="7EA60575" w14:textId="3CD7A784" w:rsidR="00BB3123" w:rsidRPr="00414B9E" w:rsidRDefault="00414B9E" w:rsidP="00414B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D681" w14:textId="77777777" w:rsidR="00716C25" w:rsidRDefault="00716C25" w:rsidP="00BB3123">
      <w:r>
        <w:separator/>
      </w:r>
    </w:p>
  </w:footnote>
  <w:footnote w:type="continuationSeparator" w:id="0">
    <w:p w14:paraId="3B09351A" w14:textId="77777777" w:rsidR="00716C25" w:rsidRDefault="00716C25" w:rsidP="00BB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1F1" w14:textId="65FE9C5A" w:rsidR="00414B9E" w:rsidRDefault="004D2A6A">
    <w:pPr>
      <w:pStyle w:val="Header"/>
    </w:pPr>
    <w:r>
      <w:rPr>
        <w:noProof/>
      </w:rPr>
      <mc:AlternateContent>
        <mc:Choice Requires="wps">
          <w:drawing>
            <wp:anchor distT="45720" distB="45720" distL="114300" distR="114300" simplePos="0" relativeHeight="251660288" behindDoc="0" locked="0" layoutInCell="1" allowOverlap="1" wp14:anchorId="285502CA" wp14:editId="2FFB8C6B">
              <wp:simplePos x="0" y="0"/>
              <wp:positionH relativeFrom="column">
                <wp:posOffset>4420566</wp:posOffset>
              </wp:positionH>
              <wp:positionV relativeFrom="paragraph">
                <wp:posOffset>-164437</wp:posOffset>
              </wp:positionV>
              <wp:extent cx="1218565" cy="667385"/>
              <wp:effectExtent l="0" t="0" r="1968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667385"/>
                      </a:xfrm>
                      <a:prstGeom prst="rect">
                        <a:avLst/>
                      </a:prstGeom>
                      <a:solidFill>
                        <a:srgbClr val="FFFFFF"/>
                      </a:solidFill>
                      <a:ln w="9525">
                        <a:solidFill>
                          <a:srgbClr val="000000"/>
                        </a:solidFill>
                        <a:miter lim="800000"/>
                        <a:headEnd/>
                        <a:tailEnd/>
                      </a:ln>
                    </wps:spPr>
                    <wps:txbx>
                      <w:txbxContent>
                        <w:p w14:paraId="19110376" w14:textId="6C0B9705" w:rsidR="005164F2" w:rsidRDefault="005164F2">
                          <w:r>
                            <w:t>Use the agency</w:t>
                          </w:r>
                          <w:r w:rsidR="004D2A6A">
                            <w:t>’</w:t>
                          </w:r>
                          <w:r>
                            <w:t>s</w:t>
                          </w:r>
                          <w:r w:rsidR="004D2A6A">
                            <w:t xml:space="preserve"> heading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502CA" id="_x0000_t202" coordsize="21600,21600" o:spt="202" path="m,l,21600r21600,l21600,xe">
              <v:stroke joinstyle="miter"/>
              <v:path gradientshapeok="t" o:connecttype="rect"/>
            </v:shapetype>
            <v:shape id="Text Box 2" o:spid="_x0000_s1026" type="#_x0000_t202" style="position:absolute;margin-left:348.1pt;margin-top:-12.95pt;width:95.95pt;height:5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">
              <v:textbox>
                <w:txbxContent>
                  <w:p w14:paraId="19110376" w14:textId="6C0B9705" w:rsidR="005164F2" w:rsidRDefault="005164F2">
                    <w:r>
                      <w:t>Use the agency</w:t>
                    </w:r>
                    <w:r w:rsidR="004D2A6A">
                      <w:t>’</w:t>
                    </w:r>
                    <w:r>
                      <w:t>s</w:t>
                    </w:r>
                    <w:r w:rsidR="004D2A6A">
                      <w:t xml:space="preserve"> heading only.</w:t>
                    </w:r>
                  </w:p>
                </w:txbxContent>
              </v:textbox>
              <w10:wrap type="square"/>
            </v:shape>
          </w:pict>
        </mc:Fallback>
      </mc:AlternateContent>
    </w:r>
    <w:r w:rsidR="00414B9E">
      <w:rPr>
        <w:noProof/>
      </w:rPr>
      <w:drawing>
        <wp:anchor distT="0" distB="0" distL="114300" distR="114300" simplePos="0" relativeHeight="251658240" behindDoc="1" locked="0" layoutInCell="1" allowOverlap="1" wp14:anchorId="0EC67E5E" wp14:editId="55B0BBBD">
          <wp:simplePos x="0" y="0"/>
          <wp:positionH relativeFrom="margin">
            <wp:posOffset>-90487</wp:posOffset>
          </wp:positionH>
          <wp:positionV relativeFrom="paragraph">
            <wp:posOffset>-209868</wp:posOffset>
          </wp:positionV>
          <wp:extent cx="1785938" cy="11781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938" cy="11781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97B76" w14:textId="43EC9435" w:rsidR="00414B9E" w:rsidRDefault="00414B9E">
    <w:pPr>
      <w:pStyle w:val="Header"/>
    </w:pPr>
  </w:p>
  <w:p w14:paraId="413D6DFA" w14:textId="1FCA9208" w:rsidR="00414B9E" w:rsidRDefault="00414B9E">
    <w:pPr>
      <w:pStyle w:val="Header"/>
    </w:pPr>
  </w:p>
  <w:p w14:paraId="5B990EB4" w14:textId="77777777" w:rsidR="00414B9E" w:rsidRDefault="00414B9E">
    <w:pPr>
      <w:pStyle w:val="Header"/>
    </w:pPr>
  </w:p>
  <w:p w14:paraId="0FAE864B" w14:textId="79E9B301" w:rsidR="00BB3123" w:rsidRDefault="00BB3123">
    <w:pPr>
      <w:pStyle w:val="Header"/>
    </w:pPr>
  </w:p>
  <w:p w14:paraId="158527BA" w14:textId="77777777" w:rsidR="00414B9E" w:rsidRDefault="00414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10A9D"/>
    <w:multiLevelType w:val="multilevel"/>
    <w:tmpl w:val="BB9619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128816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23"/>
    <w:rsid w:val="0004282D"/>
    <w:rsid w:val="00076DCE"/>
    <w:rsid w:val="00076F0E"/>
    <w:rsid w:val="000A219D"/>
    <w:rsid w:val="000B080D"/>
    <w:rsid w:val="000D676F"/>
    <w:rsid w:val="001217C1"/>
    <w:rsid w:val="00141D63"/>
    <w:rsid w:val="00144B17"/>
    <w:rsid w:val="00186314"/>
    <w:rsid w:val="001A4A75"/>
    <w:rsid w:val="001F5F6E"/>
    <w:rsid w:val="0022380E"/>
    <w:rsid w:val="002400BD"/>
    <w:rsid w:val="00283E3F"/>
    <w:rsid w:val="002B460C"/>
    <w:rsid w:val="002C2A8B"/>
    <w:rsid w:val="002F2644"/>
    <w:rsid w:val="00306C39"/>
    <w:rsid w:val="00322737"/>
    <w:rsid w:val="00327671"/>
    <w:rsid w:val="00354F9D"/>
    <w:rsid w:val="00392BB3"/>
    <w:rsid w:val="003B224D"/>
    <w:rsid w:val="003D289C"/>
    <w:rsid w:val="003D2F42"/>
    <w:rsid w:val="00414B9E"/>
    <w:rsid w:val="00422E91"/>
    <w:rsid w:val="00467400"/>
    <w:rsid w:val="004929D8"/>
    <w:rsid w:val="004C1999"/>
    <w:rsid w:val="004D2A6A"/>
    <w:rsid w:val="004F653F"/>
    <w:rsid w:val="005164F2"/>
    <w:rsid w:val="00542434"/>
    <w:rsid w:val="00563145"/>
    <w:rsid w:val="00563374"/>
    <w:rsid w:val="005830FB"/>
    <w:rsid w:val="005A5239"/>
    <w:rsid w:val="005C4177"/>
    <w:rsid w:val="005C5E09"/>
    <w:rsid w:val="005E5029"/>
    <w:rsid w:val="0063152C"/>
    <w:rsid w:val="0064393B"/>
    <w:rsid w:val="00650457"/>
    <w:rsid w:val="0068352D"/>
    <w:rsid w:val="006A5CD1"/>
    <w:rsid w:val="006C38FE"/>
    <w:rsid w:val="006E2D37"/>
    <w:rsid w:val="00716C25"/>
    <w:rsid w:val="00743E5C"/>
    <w:rsid w:val="00771598"/>
    <w:rsid w:val="007736DA"/>
    <w:rsid w:val="007B5F60"/>
    <w:rsid w:val="007B7D3E"/>
    <w:rsid w:val="007D1599"/>
    <w:rsid w:val="007E5488"/>
    <w:rsid w:val="00804146"/>
    <w:rsid w:val="00820ED8"/>
    <w:rsid w:val="00833D3A"/>
    <w:rsid w:val="00856A55"/>
    <w:rsid w:val="00861A00"/>
    <w:rsid w:val="00865A7D"/>
    <w:rsid w:val="008B3FAD"/>
    <w:rsid w:val="008C7952"/>
    <w:rsid w:val="008D6663"/>
    <w:rsid w:val="008E5F57"/>
    <w:rsid w:val="00953346"/>
    <w:rsid w:val="0095520F"/>
    <w:rsid w:val="00962AD8"/>
    <w:rsid w:val="0096393D"/>
    <w:rsid w:val="00995806"/>
    <w:rsid w:val="009D4E41"/>
    <w:rsid w:val="00A41004"/>
    <w:rsid w:val="00A61C28"/>
    <w:rsid w:val="00A641D0"/>
    <w:rsid w:val="00A6486E"/>
    <w:rsid w:val="00A8711E"/>
    <w:rsid w:val="00A877DD"/>
    <w:rsid w:val="00AA61EE"/>
    <w:rsid w:val="00AB1BC1"/>
    <w:rsid w:val="00AB1BD4"/>
    <w:rsid w:val="00B07203"/>
    <w:rsid w:val="00B60512"/>
    <w:rsid w:val="00B64D75"/>
    <w:rsid w:val="00B76580"/>
    <w:rsid w:val="00BB3123"/>
    <w:rsid w:val="00BF0694"/>
    <w:rsid w:val="00C32F9E"/>
    <w:rsid w:val="00C445B8"/>
    <w:rsid w:val="00C609F6"/>
    <w:rsid w:val="00C84164"/>
    <w:rsid w:val="00CB16E8"/>
    <w:rsid w:val="00CB2FD4"/>
    <w:rsid w:val="00CB5AA1"/>
    <w:rsid w:val="00CC04D9"/>
    <w:rsid w:val="00CC718D"/>
    <w:rsid w:val="00CC7312"/>
    <w:rsid w:val="00D049B0"/>
    <w:rsid w:val="00D64E8D"/>
    <w:rsid w:val="00D77847"/>
    <w:rsid w:val="00DD17F4"/>
    <w:rsid w:val="00E250D7"/>
    <w:rsid w:val="00E4506A"/>
    <w:rsid w:val="00E667AC"/>
    <w:rsid w:val="00F06AEC"/>
    <w:rsid w:val="00F67A52"/>
    <w:rsid w:val="00F96E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FEDFB"/>
  <w15:chartTrackingRefBased/>
  <w15:docId w15:val="{C6444C4A-7CCD-7D48-8B6D-A50ECC43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123"/>
    <w:pPr>
      <w:tabs>
        <w:tab w:val="center" w:pos="4536"/>
        <w:tab w:val="right" w:pos="9072"/>
      </w:tabs>
    </w:pPr>
  </w:style>
  <w:style w:type="character" w:customStyle="1" w:styleId="HeaderChar">
    <w:name w:val="Header Char"/>
    <w:basedOn w:val="DefaultParagraphFont"/>
    <w:link w:val="Header"/>
    <w:uiPriority w:val="99"/>
    <w:rsid w:val="00BB3123"/>
  </w:style>
  <w:style w:type="paragraph" w:styleId="Footer">
    <w:name w:val="footer"/>
    <w:basedOn w:val="Normal"/>
    <w:link w:val="FooterChar"/>
    <w:uiPriority w:val="99"/>
    <w:unhideWhenUsed/>
    <w:rsid w:val="00BB3123"/>
    <w:pPr>
      <w:tabs>
        <w:tab w:val="center" w:pos="4536"/>
        <w:tab w:val="right" w:pos="9072"/>
      </w:tabs>
    </w:pPr>
  </w:style>
  <w:style w:type="character" w:customStyle="1" w:styleId="FooterChar">
    <w:name w:val="Footer Char"/>
    <w:basedOn w:val="DefaultParagraphFont"/>
    <w:link w:val="Footer"/>
    <w:uiPriority w:val="99"/>
    <w:rsid w:val="00BB3123"/>
  </w:style>
  <w:style w:type="character" w:styleId="PageNumber">
    <w:name w:val="page number"/>
    <w:basedOn w:val="DefaultParagraphFont"/>
    <w:uiPriority w:val="99"/>
    <w:semiHidden/>
    <w:unhideWhenUsed/>
    <w:rsid w:val="00467400"/>
  </w:style>
  <w:style w:type="paragraph" w:styleId="FootnoteText">
    <w:name w:val="footnote text"/>
    <w:basedOn w:val="Normal"/>
    <w:link w:val="FootnoteTextChar"/>
    <w:uiPriority w:val="99"/>
    <w:semiHidden/>
    <w:unhideWhenUsed/>
    <w:rsid w:val="005A5239"/>
    <w:rPr>
      <w:sz w:val="20"/>
      <w:szCs w:val="20"/>
    </w:rPr>
  </w:style>
  <w:style w:type="character" w:customStyle="1" w:styleId="FootnoteTextChar">
    <w:name w:val="Footnote Text Char"/>
    <w:basedOn w:val="DefaultParagraphFont"/>
    <w:link w:val="FootnoteText"/>
    <w:uiPriority w:val="99"/>
    <w:semiHidden/>
    <w:rsid w:val="005A5239"/>
    <w:rPr>
      <w:sz w:val="20"/>
      <w:szCs w:val="20"/>
    </w:rPr>
  </w:style>
  <w:style w:type="character" w:styleId="FootnoteReference">
    <w:name w:val="footnote reference"/>
    <w:basedOn w:val="DefaultParagraphFont"/>
    <w:uiPriority w:val="99"/>
    <w:semiHidden/>
    <w:unhideWhenUsed/>
    <w:rsid w:val="005A5239"/>
    <w:rPr>
      <w:vertAlign w:val="superscript"/>
    </w:rPr>
  </w:style>
  <w:style w:type="paragraph" w:styleId="ListParagraph">
    <w:name w:val="List Paragraph"/>
    <w:basedOn w:val="Normal"/>
    <w:uiPriority w:val="34"/>
    <w:qFormat/>
    <w:rsid w:val="00CC0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97D2-86FC-4650-B3E3-5938381D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880</Words>
  <Characters>4841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Milja Homan | ENQA</cp:lastModifiedBy>
  <cp:revision>94</cp:revision>
  <cp:lastPrinted>2020-03-10T15:08:00Z</cp:lastPrinted>
  <dcterms:created xsi:type="dcterms:W3CDTF">2020-03-26T09:04:00Z</dcterms:created>
  <dcterms:modified xsi:type="dcterms:W3CDTF">2022-11-30T15:15:00Z</dcterms:modified>
</cp:coreProperties>
</file>