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3A7AA" w14:textId="14132548" w:rsidR="00BB3123" w:rsidRPr="005A60F3" w:rsidRDefault="002A3D66" w:rsidP="005A60F3">
      <w:pPr>
        <w:tabs>
          <w:tab w:val="left" w:pos="2024"/>
        </w:tabs>
        <w:jc w:val="center"/>
        <w:rPr>
          <w:b/>
          <w:bCs/>
          <w:color w:val="ED7D31" w:themeColor="accent2"/>
        </w:rPr>
      </w:pPr>
      <w:r w:rsidRPr="005A60F3">
        <w:rPr>
          <w:b/>
          <w:bCs/>
          <w:color w:val="ED7D31" w:themeColor="accent2"/>
        </w:rPr>
        <w:t>Mapping grid for panel members</w:t>
      </w:r>
    </w:p>
    <w:p w14:paraId="3D89FBBF" w14:textId="718B97E4" w:rsidR="00F137C3" w:rsidRDefault="00F137C3" w:rsidP="00467400">
      <w:pPr>
        <w:tabs>
          <w:tab w:val="left" w:pos="2024"/>
        </w:tabs>
      </w:pPr>
    </w:p>
    <w:tbl>
      <w:tblPr>
        <w:tblStyle w:val="TableGrid"/>
        <w:tblW w:w="0" w:type="auto"/>
        <w:tblLook w:val="04A0" w:firstRow="1" w:lastRow="0" w:firstColumn="1" w:lastColumn="0" w:noHBand="0" w:noVBand="1"/>
      </w:tblPr>
      <w:tblGrid>
        <w:gridCol w:w="1980"/>
        <w:gridCol w:w="6520"/>
        <w:gridCol w:w="3969"/>
        <w:gridCol w:w="1481"/>
      </w:tblGrid>
      <w:tr w:rsidR="00171AFB" w:rsidRPr="00F03853" w14:paraId="546EF9CF" w14:textId="77777777" w:rsidTr="00F03853">
        <w:trPr>
          <w:tblHeader/>
        </w:trPr>
        <w:tc>
          <w:tcPr>
            <w:tcW w:w="1980" w:type="dxa"/>
            <w:shd w:val="clear" w:color="auto" w:fill="BFBFBF" w:themeFill="background1" w:themeFillShade="BF"/>
          </w:tcPr>
          <w:p w14:paraId="7F7F3BA4" w14:textId="26953A87" w:rsidR="00171AFB" w:rsidRPr="00F03853" w:rsidRDefault="009E3340" w:rsidP="00467400">
            <w:pPr>
              <w:tabs>
                <w:tab w:val="left" w:pos="2024"/>
              </w:tabs>
              <w:rPr>
                <w:sz w:val="22"/>
                <w:szCs w:val="22"/>
              </w:rPr>
            </w:pPr>
            <w:r w:rsidRPr="00F03853">
              <w:rPr>
                <w:sz w:val="22"/>
                <w:szCs w:val="22"/>
              </w:rPr>
              <w:t>ESG</w:t>
            </w:r>
            <w:r w:rsidR="00881CBF" w:rsidRPr="00F03853">
              <w:rPr>
                <w:rStyle w:val="FootnoteReference"/>
                <w:sz w:val="22"/>
                <w:szCs w:val="22"/>
              </w:rPr>
              <w:footnoteReference w:id="1"/>
            </w:r>
          </w:p>
        </w:tc>
        <w:tc>
          <w:tcPr>
            <w:tcW w:w="6520" w:type="dxa"/>
            <w:shd w:val="clear" w:color="auto" w:fill="BFBFBF" w:themeFill="background1" w:themeFillShade="BF"/>
          </w:tcPr>
          <w:p w14:paraId="4F1FED80" w14:textId="1B40FBF8" w:rsidR="00171AFB" w:rsidRPr="00F03853" w:rsidRDefault="009E3340" w:rsidP="00467400">
            <w:pPr>
              <w:tabs>
                <w:tab w:val="left" w:pos="2024"/>
              </w:tabs>
              <w:rPr>
                <w:sz w:val="22"/>
                <w:szCs w:val="22"/>
              </w:rPr>
            </w:pPr>
            <w:r w:rsidRPr="00F03853">
              <w:rPr>
                <w:sz w:val="22"/>
                <w:szCs w:val="22"/>
              </w:rPr>
              <w:t>STANDARD</w:t>
            </w:r>
          </w:p>
        </w:tc>
        <w:tc>
          <w:tcPr>
            <w:tcW w:w="3969" w:type="dxa"/>
            <w:shd w:val="clear" w:color="auto" w:fill="BFBFBF" w:themeFill="background1" w:themeFillShade="BF"/>
          </w:tcPr>
          <w:p w14:paraId="16E72922" w14:textId="0B39227C" w:rsidR="00171AFB" w:rsidRPr="00F03853" w:rsidRDefault="009E3340" w:rsidP="00467400">
            <w:pPr>
              <w:tabs>
                <w:tab w:val="left" w:pos="2024"/>
              </w:tabs>
              <w:rPr>
                <w:sz w:val="22"/>
                <w:szCs w:val="22"/>
              </w:rPr>
            </w:pPr>
            <w:r w:rsidRPr="00F03853">
              <w:rPr>
                <w:sz w:val="22"/>
                <w:szCs w:val="22"/>
              </w:rPr>
              <w:t>ISSUES FOR DISCUSSION</w:t>
            </w:r>
          </w:p>
        </w:tc>
        <w:tc>
          <w:tcPr>
            <w:tcW w:w="1481" w:type="dxa"/>
            <w:shd w:val="clear" w:color="auto" w:fill="BFBFBF" w:themeFill="background1" w:themeFillShade="BF"/>
          </w:tcPr>
          <w:p w14:paraId="3D21CAD4" w14:textId="695F323F" w:rsidR="00171AFB" w:rsidRPr="00F03853" w:rsidRDefault="009E3340" w:rsidP="00467400">
            <w:pPr>
              <w:tabs>
                <w:tab w:val="left" w:pos="2024"/>
              </w:tabs>
              <w:rPr>
                <w:sz w:val="22"/>
                <w:szCs w:val="22"/>
              </w:rPr>
            </w:pPr>
            <w:r w:rsidRPr="00F03853">
              <w:rPr>
                <w:sz w:val="22"/>
                <w:szCs w:val="22"/>
              </w:rPr>
              <w:t>SESSION NO</w:t>
            </w:r>
          </w:p>
        </w:tc>
      </w:tr>
      <w:tr w:rsidR="00171AFB" w:rsidRPr="00F03853" w14:paraId="270E0E29" w14:textId="77777777" w:rsidTr="00F03853">
        <w:tc>
          <w:tcPr>
            <w:tcW w:w="1980" w:type="dxa"/>
          </w:tcPr>
          <w:p w14:paraId="40726F63" w14:textId="6C681954" w:rsidR="00171AFB" w:rsidRPr="00F03853" w:rsidRDefault="002E377B" w:rsidP="00467400">
            <w:pPr>
              <w:tabs>
                <w:tab w:val="left" w:pos="2024"/>
              </w:tabs>
              <w:rPr>
                <w:sz w:val="22"/>
                <w:szCs w:val="22"/>
              </w:rPr>
            </w:pPr>
            <w:r w:rsidRPr="00F03853">
              <w:rPr>
                <w:sz w:val="22"/>
                <w:szCs w:val="22"/>
              </w:rPr>
              <w:t>3.1 Activities, policy and processes for quality assurance</w:t>
            </w:r>
          </w:p>
        </w:tc>
        <w:tc>
          <w:tcPr>
            <w:tcW w:w="6520" w:type="dxa"/>
          </w:tcPr>
          <w:p w14:paraId="0128061B" w14:textId="20B1D4B5" w:rsidR="00171AFB" w:rsidRPr="00F03853" w:rsidRDefault="00885123" w:rsidP="00885123">
            <w:pPr>
              <w:tabs>
                <w:tab w:val="left" w:pos="2024"/>
              </w:tabs>
              <w:rPr>
                <w:sz w:val="22"/>
                <w:szCs w:val="22"/>
              </w:rPr>
            </w:pPr>
            <w:r w:rsidRPr="00F03853">
              <w:rPr>
                <w:sz w:val="22"/>
                <w:szCs w:val="22"/>
              </w:rPr>
              <w:t>Agencies should undertake external quality assurance activities as defined in Part 2 of the ESG on a regular basis. They should have clear and explicit goals and objectives that are part of their publicly available mission statement. These should translate into the daily work of the agency. Agencies should ensure the involvement of stakeholders in their governance and work.</w:t>
            </w:r>
          </w:p>
        </w:tc>
        <w:tc>
          <w:tcPr>
            <w:tcW w:w="3969" w:type="dxa"/>
          </w:tcPr>
          <w:p w14:paraId="777EE4D0" w14:textId="77777777" w:rsidR="00171AFB" w:rsidRPr="00F03853" w:rsidRDefault="00171AFB" w:rsidP="00467400">
            <w:pPr>
              <w:tabs>
                <w:tab w:val="left" w:pos="2024"/>
              </w:tabs>
              <w:rPr>
                <w:sz w:val="22"/>
                <w:szCs w:val="22"/>
              </w:rPr>
            </w:pPr>
          </w:p>
        </w:tc>
        <w:tc>
          <w:tcPr>
            <w:tcW w:w="1481" w:type="dxa"/>
          </w:tcPr>
          <w:p w14:paraId="5A1D09CE" w14:textId="77777777" w:rsidR="00171AFB" w:rsidRPr="00F03853" w:rsidRDefault="00171AFB" w:rsidP="00467400">
            <w:pPr>
              <w:tabs>
                <w:tab w:val="left" w:pos="2024"/>
              </w:tabs>
              <w:rPr>
                <w:sz w:val="22"/>
                <w:szCs w:val="22"/>
              </w:rPr>
            </w:pPr>
          </w:p>
        </w:tc>
      </w:tr>
      <w:tr w:rsidR="00171AFB" w:rsidRPr="00F03853" w14:paraId="5C125995" w14:textId="77777777" w:rsidTr="00F03853">
        <w:tc>
          <w:tcPr>
            <w:tcW w:w="1980" w:type="dxa"/>
          </w:tcPr>
          <w:p w14:paraId="61420B11" w14:textId="5BFD2ACD" w:rsidR="00171AFB" w:rsidRPr="00F03853" w:rsidRDefault="00433273" w:rsidP="00467400">
            <w:pPr>
              <w:tabs>
                <w:tab w:val="left" w:pos="2024"/>
              </w:tabs>
              <w:rPr>
                <w:sz w:val="22"/>
                <w:szCs w:val="22"/>
              </w:rPr>
            </w:pPr>
            <w:r w:rsidRPr="00F03853">
              <w:rPr>
                <w:sz w:val="22"/>
                <w:szCs w:val="22"/>
              </w:rPr>
              <w:t>3.2 Official status</w:t>
            </w:r>
          </w:p>
        </w:tc>
        <w:tc>
          <w:tcPr>
            <w:tcW w:w="6520" w:type="dxa"/>
          </w:tcPr>
          <w:p w14:paraId="233BEA86" w14:textId="77777777" w:rsidR="00885123" w:rsidRPr="00F03853" w:rsidRDefault="00885123" w:rsidP="00885123">
            <w:pPr>
              <w:tabs>
                <w:tab w:val="left" w:pos="2024"/>
              </w:tabs>
              <w:rPr>
                <w:sz w:val="22"/>
                <w:szCs w:val="22"/>
              </w:rPr>
            </w:pPr>
            <w:r w:rsidRPr="00F03853">
              <w:rPr>
                <w:sz w:val="22"/>
                <w:szCs w:val="22"/>
              </w:rPr>
              <w:t>Agencies should have an established legal basis and should be formally recognised as quality</w:t>
            </w:r>
          </w:p>
          <w:p w14:paraId="3DAF72A7" w14:textId="4F66F2FA" w:rsidR="00171AFB" w:rsidRPr="00F03853" w:rsidRDefault="00885123" w:rsidP="00885123">
            <w:pPr>
              <w:tabs>
                <w:tab w:val="left" w:pos="2024"/>
              </w:tabs>
              <w:rPr>
                <w:sz w:val="22"/>
                <w:szCs w:val="22"/>
              </w:rPr>
            </w:pPr>
            <w:r w:rsidRPr="00F03853">
              <w:rPr>
                <w:sz w:val="22"/>
                <w:szCs w:val="22"/>
              </w:rPr>
              <w:t>assurance agencies by competent public authorities.</w:t>
            </w:r>
          </w:p>
        </w:tc>
        <w:tc>
          <w:tcPr>
            <w:tcW w:w="3969" w:type="dxa"/>
          </w:tcPr>
          <w:p w14:paraId="0ECE4497" w14:textId="77777777" w:rsidR="00171AFB" w:rsidRPr="00F03853" w:rsidRDefault="00171AFB" w:rsidP="00467400">
            <w:pPr>
              <w:tabs>
                <w:tab w:val="left" w:pos="2024"/>
              </w:tabs>
              <w:rPr>
                <w:sz w:val="22"/>
                <w:szCs w:val="22"/>
              </w:rPr>
            </w:pPr>
          </w:p>
        </w:tc>
        <w:tc>
          <w:tcPr>
            <w:tcW w:w="1481" w:type="dxa"/>
          </w:tcPr>
          <w:p w14:paraId="1A2A191E" w14:textId="77777777" w:rsidR="00171AFB" w:rsidRPr="00F03853" w:rsidRDefault="00171AFB" w:rsidP="00467400">
            <w:pPr>
              <w:tabs>
                <w:tab w:val="left" w:pos="2024"/>
              </w:tabs>
              <w:rPr>
                <w:sz w:val="22"/>
                <w:szCs w:val="22"/>
              </w:rPr>
            </w:pPr>
          </w:p>
        </w:tc>
      </w:tr>
      <w:tr w:rsidR="00171AFB" w:rsidRPr="00F03853" w14:paraId="2306EB04" w14:textId="77777777" w:rsidTr="00F03853">
        <w:tc>
          <w:tcPr>
            <w:tcW w:w="1980" w:type="dxa"/>
          </w:tcPr>
          <w:p w14:paraId="4703801F" w14:textId="6609811D" w:rsidR="00171AFB" w:rsidRPr="00F03853" w:rsidRDefault="00AD57C1" w:rsidP="00467400">
            <w:pPr>
              <w:tabs>
                <w:tab w:val="left" w:pos="2024"/>
              </w:tabs>
              <w:rPr>
                <w:sz w:val="22"/>
                <w:szCs w:val="22"/>
              </w:rPr>
            </w:pPr>
            <w:r w:rsidRPr="00F03853">
              <w:rPr>
                <w:sz w:val="22"/>
                <w:szCs w:val="22"/>
              </w:rPr>
              <w:t>3.3 Independence</w:t>
            </w:r>
          </w:p>
        </w:tc>
        <w:tc>
          <w:tcPr>
            <w:tcW w:w="6520" w:type="dxa"/>
          </w:tcPr>
          <w:p w14:paraId="1F08F714" w14:textId="77777777" w:rsidR="00885123" w:rsidRPr="00F03853" w:rsidRDefault="00885123" w:rsidP="00885123">
            <w:pPr>
              <w:tabs>
                <w:tab w:val="left" w:pos="2024"/>
              </w:tabs>
              <w:rPr>
                <w:sz w:val="22"/>
                <w:szCs w:val="22"/>
              </w:rPr>
            </w:pPr>
            <w:r w:rsidRPr="00F03853">
              <w:rPr>
                <w:sz w:val="22"/>
                <w:szCs w:val="22"/>
              </w:rPr>
              <w:t>Agencies should be independent and act autonomously. They should have full responsibility for</w:t>
            </w:r>
          </w:p>
          <w:p w14:paraId="6C56FAAD" w14:textId="35FB851F" w:rsidR="00171AFB" w:rsidRPr="00F03853" w:rsidRDefault="00885123" w:rsidP="00885123">
            <w:pPr>
              <w:tabs>
                <w:tab w:val="left" w:pos="2024"/>
              </w:tabs>
              <w:rPr>
                <w:sz w:val="22"/>
                <w:szCs w:val="22"/>
              </w:rPr>
            </w:pPr>
            <w:r w:rsidRPr="00F03853">
              <w:rPr>
                <w:sz w:val="22"/>
                <w:szCs w:val="22"/>
              </w:rPr>
              <w:t>their operations and the outcomes of those operations without third party influence.</w:t>
            </w:r>
          </w:p>
        </w:tc>
        <w:tc>
          <w:tcPr>
            <w:tcW w:w="3969" w:type="dxa"/>
          </w:tcPr>
          <w:p w14:paraId="5FDBC1BF" w14:textId="77777777" w:rsidR="00171AFB" w:rsidRPr="00F03853" w:rsidRDefault="00171AFB" w:rsidP="00467400">
            <w:pPr>
              <w:tabs>
                <w:tab w:val="left" w:pos="2024"/>
              </w:tabs>
              <w:rPr>
                <w:sz w:val="22"/>
                <w:szCs w:val="22"/>
              </w:rPr>
            </w:pPr>
          </w:p>
        </w:tc>
        <w:tc>
          <w:tcPr>
            <w:tcW w:w="1481" w:type="dxa"/>
          </w:tcPr>
          <w:p w14:paraId="0CA4A2D1" w14:textId="77777777" w:rsidR="00171AFB" w:rsidRPr="00F03853" w:rsidRDefault="00171AFB" w:rsidP="00467400">
            <w:pPr>
              <w:tabs>
                <w:tab w:val="left" w:pos="2024"/>
              </w:tabs>
              <w:rPr>
                <w:sz w:val="22"/>
                <w:szCs w:val="22"/>
              </w:rPr>
            </w:pPr>
          </w:p>
        </w:tc>
      </w:tr>
      <w:tr w:rsidR="00171AFB" w:rsidRPr="00F03853" w14:paraId="2BB4EDDC" w14:textId="77777777" w:rsidTr="00F03853">
        <w:tc>
          <w:tcPr>
            <w:tcW w:w="1980" w:type="dxa"/>
          </w:tcPr>
          <w:p w14:paraId="5B72D00B" w14:textId="618E7F93" w:rsidR="00171AFB" w:rsidRPr="00F03853" w:rsidRDefault="00E11158" w:rsidP="00467400">
            <w:pPr>
              <w:tabs>
                <w:tab w:val="left" w:pos="2024"/>
              </w:tabs>
              <w:rPr>
                <w:sz w:val="22"/>
                <w:szCs w:val="22"/>
              </w:rPr>
            </w:pPr>
            <w:r w:rsidRPr="00F03853">
              <w:rPr>
                <w:sz w:val="22"/>
                <w:szCs w:val="22"/>
              </w:rPr>
              <w:t>3.4 Thematic analysis</w:t>
            </w:r>
          </w:p>
        </w:tc>
        <w:tc>
          <w:tcPr>
            <w:tcW w:w="6520" w:type="dxa"/>
          </w:tcPr>
          <w:p w14:paraId="03FB6B71" w14:textId="77777777" w:rsidR="005F2726" w:rsidRPr="00F03853" w:rsidRDefault="005F2726" w:rsidP="005F2726">
            <w:pPr>
              <w:tabs>
                <w:tab w:val="left" w:pos="2024"/>
              </w:tabs>
              <w:rPr>
                <w:sz w:val="22"/>
                <w:szCs w:val="22"/>
              </w:rPr>
            </w:pPr>
            <w:r w:rsidRPr="00F03853">
              <w:rPr>
                <w:sz w:val="22"/>
                <w:szCs w:val="22"/>
              </w:rPr>
              <w:t>Agencies should regularly publish reports that describe and analyse the general findings of their</w:t>
            </w:r>
          </w:p>
          <w:p w14:paraId="5EA41CCC" w14:textId="5F558340" w:rsidR="00171AFB" w:rsidRPr="00F03853" w:rsidRDefault="005F2726" w:rsidP="005F2726">
            <w:pPr>
              <w:tabs>
                <w:tab w:val="left" w:pos="2024"/>
              </w:tabs>
              <w:rPr>
                <w:sz w:val="22"/>
                <w:szCs w:val="22"/>
              </w:rPr>
            </w:pPr>
            <w:r w:rsidRPr="00F03853">
              <w:rPr>
                <w:sz w:val="22"/>
                <w:szCs w:val="22"/>
              </w:rPr>
              <w:t>external quality assurance activities.</w:t>
            </w:r>
          </w:p>
        </w:tc>
        <w:tc>
          <w:tcPr>
            <w:tcW w:w="3969" w:type="dxa"/>
          </w:tcPr>
          <w:p w14:paraId="58F1A00A" w14:textId="77777777" w:rsidR="00171AFB" w:rsidRPr="00F03853" w:rsidRDefault="00171AFB" w:rsidP="00467400">
            <w:pPr>
              <w:tabs>
                <w:tab w:val="left" w:pos="2024"/>
              </w:tabs>
              <w:rPr>
                <w:sz w:val="22"/>
                <w:szCs w:val="22"/>
              </w:rPr>
            </w:pPr>
          </w:p>
        </w:tc>
        <w:tc>
          <w:tcPr>
            <w:tcW w:w="1481" w:type="dxa"/>
          </w:tcPr>
          <w:p w14:paraId="489588FB" w14:textId="77777777" w:rsidR="00171AFB" w:rsidRPr="00F03853" w:rsidRDefault="00171AFB" w:rsidP="00467400">
            <w:pPr>
              <w:tabs>
                <w:tab w:val="left" w:pos="2024"/>
              </w:tabs>
              <w:rPr>
                <w:sz w:val="22"/>
                <w:szCs w:val="22"/>
              </w:rPr>
            </w:pPr>
          </w:p>
        </w:tc>
      </w:tr>
      <w:tr w:rsidR="00171AFB" w:rsidRPr="00F03853" w14:paraId="42C854C7" w14:textId="77777777" w:rsidTr="00F03853">
        <w:tc>
          <w:tcPr>
            <w:tcW w:w="1980" w:type="dxa"/>
          </w:tcPr>
          <w:p w14:paraId="5715E13E" w14:textId="1A8EE523" w:rsidR="00171AFB" w:rsidRPr="00F03853" w:rsidRDefault="000F5AC3" w:rsidP="00467400">
            <w:pPr>
              <w:tabs>
                <w:tab w:val="left" w:pos="2024"/>
              </w:tabs>
              <w:rPr>
                <w:sz w:val="22"/>
                <w:szCs w:val="22"/>
              </w:rPr>
            </w:pPr>
            <w:r w:rsidRPr="00F03853">
              <w:rPr>
                <w:sz w:val="22"/>
                <w:szCs w:val="22"/>
              </w:rPr>
              <w:t>3.5 Resources</w:t>
            </w:r>
          </w:p>
        </w:tc>
        <w:tc>
          <w:tcPr>
            <w:tcW w:w="6520" w:type="dxa"/>
          </w:tcPr>
          <w:p w14:paraId="45F95D6F" w14:textId="77777777" w:rsidR="005F2726" w:rsidRPr="00F03853" w:rsidRDefault="005F2726" w:rsidP="005F2726">
            <w:pPr>
              <w:tabs>
                <w:tab w:val="left" w:pos="2024"/>
              </w:tabs>
              <w:rPr>
                <w:sz w:val="22"/>
                <w:szCs w:val="22"/>
              </w:rPr>
            </w:pPr>
            <w:r w:rsidRPr="00F03853">
              <w:rPr>
                <w:sz w:val="22"/>
                <w:szCs w:val="22"/>
              </w:rPr>
              <w:t>Agencies should have adequate and appropriate resources, both human and financial, to carry out</w:t>
            </w:r>
          </w:p>
          <w:p w14:paraId="7D6EFCEF" w14:textId="0A824F82" w:rsidR="00171AFB" w:rsidRPr="00F03853" w:rsidRDefault="005F2726" w:rsidP="005F2726">
            <w:pPr>
              <w:tabs>
                <w:tab w:val="left" w:pos="2024"/>
              </w:tabs>
              <w:rPr>
                <w:sz w:val="22"/>
                <w:szCs w:val="22"/>
              </w:rPr>
            </w:pPr>
            <w:r w:rsidRPr="00F03853">
              <w:rPr>
                <w:sz w:val="22"/>
                <w:szCs w:val="22"/>
              </w:rPr>
              <w:t>their work.</w:t>
            </w:r>
          </w:p>
        </w:tc>
        <w:tc>
          <w:tcPr>
            <w:tcW w:w="3969" w:type="dxa"/>
          </w:tcPr>
          <w:p w14:paraId="25EA4EDE" w14:textId="77777777" w:rsidR="00171AFB" w:rsidRPr="00F03853" w:rsidRDefault="00171AFB" w:rsidP="00467400">
            <w:pPr>
              <w:tabs>
                <w:tab w:val="left" w:pos="2024"/>
              </w:tabs>
              <w:rPr>
                <w:sz w:val="22"/>
                <w:szCs w:val="22"/>
              </w:rPr>
            </w:pPr>
          </w:p>
        </w:tc>
        <w:tc>
          <w:tcPr>
            <w:tcW w:w="1481" w:type="dxa"/>
          </w:tcPr>
          <w:p w14:paraId="28E05FCF" w14:textId="77777777" w:rsidR="00171AFB" w:rsidRPr="00F03853" w:rsidRDefault="00171AFB" w:rsidP="00467400">
            <w:pPr>
              <w:tabs>
                <w:tab w:val="left" w:pos="2024"/>
              </w:tabs>
              <w:rPr>
                <w:sz w:val="22"/>
                <w:szCs w:val="22"/>
              </w:rPr>
            </w:pPr>
          </w:p>
        </w:tc>
      </w:tr>
      <w:tr w:rsidR="000F5AC3" w:rsidRPr="00F03853" w14:paraId="4E77BE12" w14:textId="77777777" w:rsidTr="00F03853">
        <w:tc>
          <w:tcPr>
            <w:tcW w:w="1980" w:type="dxa"/>
          </w:tcPr>
          <w:p w14:paraId="51F0EB76" w14:textId="7ABEA097" w:rsidR="000F5AC3" w:rsidRPr="00F03853" w:rsidRDefault="006E4EC7" w:rsidP="00467400">
            <w:pPr>
              <w:tabs>
                <w:tab w:val="left" w:pos="2024"/>
              </w:tabs>
              <w:rPr>
                <w:sz w:val="22"/>
                <w:szCs w:val="22"/>
              </w:rPr>
            </w:pPr>
            <w:r w:rsidRPr="00F03853">
              <w:rPr>
                <w:sz w:val="22"/>
                <w:szCs w:val="22"/>
              </w:rPr>
              <w:t>3.6 Internal quality assurance and professional conduct</w:t>
            </w:r>
          </w:p>
        </w:tc>
        <w:tc>
          <w:tcPr>
            <w:tcW w:w="6520" w:type="dxa"/>
          </w:tcPr>
          <w:p w14:paraId="2285EA7C" w14:textId="5911027D" w:rsidR="000F5AC3" w:rsidRPr="00F03853" w:rsidRDefault="005F2726" w:rsidP="005F2726">
            <w:pPr>
              <w:tabs>
                <w:tab w:val="left" w:pos="2024"/>
              </w:tabs>
              <w:rPr>
                <w:sz w:val="22"/>
                <w:szCs w:val="22"/>
              </w:rPr>
            </w:pPr>
            <w:r w:rsidRPr="00F03853">
              <w:rPr>
                <w:sz w:val="22"/>
                <w:szCs w:val="22"/>
              </w:rPr>
              <w:t>Agencies should have in place processes for internal quality assurance related to defining, assuring and enhancing the quality and integrity of their activities.</w:t>
            </w:r>
          </w:p>
        </w:tc>
        <w:tc>
          <w:tcPr>
            <w:tcW w:w="3969" w:type="dxa"/>
          </w:tcPr>
          <w:p w14:paraId="06814EA6" w14:textId="77777777" w:rsidR="000F5AC3" w:rsidRPr="00F03853" w:rsidRDefault="000F5AC3" w:rsidP="00467400">
            <w:pPr>
              <w:tabs>
                <w:tab w:val="left" w:pos="2024"/>
              </w:tabs>
              <w:rPr>
                <w:sz w:val="22"/>
                <w:szCs w:val="22"/>
              </w:rPr>
            </w:pPr>
          </w:p>
        </w:tc>
        <w:tc>
          <w:tcPr>
            <w:tcW w:w="1481" w:type="dxa"/>
          </w:tcPr>
          <w:p w14:paraId="29B2E13E" w14:textId="77777777" w:rsidR="000F5AC3" w:rsidRPr="00F03853" w:rsidRDefault="000F5AC3" w:rsidP="00467400">
            <w:pPr>
              <w:tabs>
                <w:tab w:val="left" w:pos="2024"/>
              </w:tabs>
              <w:rPr>
                <w:sz w:val="22"/>
                <w:szCs w:val="22"/>
              </w:rPr>
            </w:pPr>
          </w:p>
        </w:tc>
      </w:tr>
      <w:tr w:rsidR="000F5AC3" w:rsidRPr="00F03853" w14:paraId="1CD3430A" w14:textId="77777777" w:rsidTr="00F03853">
        <w:tc>
          <w:tcPr>
            <w:tcW w:w="1980" w:type="dxa"/>
          </w:tcPr>
          <w:p w14:paraId="21E8CB2C" w14:textId="3B52BBCA" w:rsidR="000F5AC3" w:rsidRPr="00F03853" w:rsidRDefault="00A62C00" w:rsidP="00467400">
            <w:pPr>
              <w:tabs>
                <w:tab w:val="left" w:pos="2024"/>
              </w:tabs>
              <w:rPr>
                <w:sz w:val="22"/>
                <w:szCs w:val="22"/>
              </w:rPr>
            </w:pPr>
            <w:r w:rsidRPr="00F03853">
              <w:rPr>
                <w:sz w:val="22"/>
                <w:szCs w:val="22"/>
              </w:rPr>
              <w:t>3.7 Cyclical external review of agencies</w:t>
            </w:r>
          </w:p>
        </w:tc>
        <w:tc>
          <w:tcPr>
            <w:tcW w:w="6520" w:type="dxa"/>
          </w:tcPr>
          <w:p w14:paraId="7AC71193" w14:textId="544F0F32" w:rsidR="000F5AC3" w:rsidRPr="00F03853" w:rsidRDefault="00F0576A" w:rsidP="00F0576A">
            <w:pPr>
              <w:tabs>
                <w:tab w:val="left" w:pos="2024"/>
              </w:tabs>
              <w:rPr>
                <w:sz w:val="22"/>
                <w:szCs w:val="22"/>
              </w:rPr>
            </w:pPr>
            <w:r w:rsidRPr="00F03853">
              <w:rPr>
                <w:sz w:val="22"/>
                <w:szCs w:val="22"/>
              </w:rPr>
              <w:t>Agencies should undergo an external review at least once every five years in order to demonstrate their compliance with the ESG.</w:t>
            </w:r>
          </w:p>
        </w:tc>
        <w:tc>
          <w:tcPr>
            <w:tcW w:w="3969" w:type="dxa"/>
          </w:tcPr>
          <w:p w14:paraId="41FA3641" w14:textId="77777777" w:rsidR="000F5AC3" w:rsidRPr="00F03853" w:rsidRDefault="000F5AC3" w:rsidP="00467400">
            <w:pPr>
              <w:tabs>
                <w:tab w:val="left" w:pos="2024"/>
              </w:tabs>
              <w:rPr>
                <w:sz w:val="22"/>
                <w:szCs w:val="22"/>
              </w:rPr>
            </w:pPr>
          </w:p>
        </w:tc>
        <w:tc>
          <w:tcPr>
            <w:tcW w:w="1481" w:type="dxa"/>
          </w:tcPr>
          <w:p w14:paraId="37002D36" w14:textId="77777777" w:rsidR="000F5AC3" w:rsidRPr="00F03853" w:rsidRDefault="000F5AC3" w:rsidP="00467400">
            <w:pPr>
              <w:tabs>
                <w:tab w:val="left" w:pos="2024"/>
              </w:tabs>
              <w:rPr>
                <w:sz w:val="22"/>
                <w:szCs w:val="22"/>
              </w:rPr>
            </w:pPr>
          </w:p>
        </w:tc>
      </w:tr>
      <w:tr w:rsidR="000F5AC3" w:rsidRPr="00F03853" w14:paraId="656FA083" w14:textId="77777777" w:rsidTr="00F03853">
        <w:tc>
          <w:tcPr>
            <w:tcW w:w="1980" w:type="dxa"/>
          </w:tcPr>
          <w:p w14:paraId="652CC35D" w14:textId="10DAE8DA" w:rsidR="000F5AC3" w:rsidRPr="00F03853" w:rsidRDefault="006055BA" w:rsidP="00467400">
            <w:pPr>
              <w:tabs>
                <w:tab w:val="left" w:pos="2024"/>
              </w:tabs>
              <w:rPr>
                <w:sz w:val="22"/>
                <w:szCs w:val="22"/>
              </w:rPr>
            </w:pPr>
            <w:r w:rsidRPr="00F03853">
              <w:rPr>
                <w:sz w:val="22"/>
                <w:szCs w:val="22"/>
              </w:rPr>
              <w:lastRenderedPageBreak/>
              <w:t>2.1 Consideration of internal quality assurance</w:t>
            </w:r>
          </w:p>
        </w:tc>
        <w:tc>
          <w:tcPr>
            <w:tcW w:w="6520" w:type="dxa"/>
          </w:tcPr>
          <w:p w14:paraId="07BB34C5" w14:textId="77777777" w:rsidR="00A40B4B" w:rsidRPr="00F03853" w:rsidRDefault="00A40B4B" w:rsidP="00A40B4B">
            <w:pPr>
              <w:tabs>
                <w:tab w:val="left" w:pos="2024"/>
              </w:tabs>
              <w:rPr>
                <w:sz w:val="22"/>
                <w:szCs w:val="22"/>
              </w:rPr>
            </w:pPr>
            <w:r w:rsidRPr="00F03853">
              <w:rPr>
                <w:sz w:val="22"/>
                <w:szCs w:val="22"/>
              </w:rPr>
              <w:t>External quality assurance should address the effectiveness of the internal quality assurance</w:t>
            </w:r>
          </w:p>
          <w:p w14:paraId="014FAECA" w14:textId="33E411E1" w:rsidR="000F5AC3" w:rsidRPr="00F03853" w:rsidRDefault="00A40B4B" w:rsidP="00A40B4B">
            <w:pPr>
              <w:tabs>
                <w:tab w:val="left" w:pos="2024"/>
              </w:tabs>
              <w:rPr>
                <w:sz w:val="22"/>
                <w:szCs w:val="22"/>
              </w:rPr>
            </w:pPr>
            <w:r w:rsidRPr="00F03853">
              <w:rPr>
                <w:sz w:val="22"/>
                <w:szCs w:val="22"/>
              </w:rPr>
              <w:t>processes described in Part 1 of the ESG.</w:t>
            </w:r>
          </w:p>
        </w:tc>
        <w:tc>
          <w:tcPr>
            <w:tcW w:w="3969" w:type="dxa"/>
          </w:tcPr>
          <w:p w14:paraId="68F1335A" w14:textId="77777777" w:rsidR="000F5AC3" w:rsidRPr="00F03853" w:rsidRDefault="000F5AC3" w:rsidP="00467400">
            <w:pPr>
              <w:tabs>
                <w:tab w:val="left" w:pos="2024"/>
              </w:tabs>
              <w:rPr>
                <w:sz w:val="22"/>
                <w:szCs w:val="22"/>
              </w:rPr>
            </w:pPr>
          </w:p>
        </w:tc>
        <w:tc>
          <w:tcPr>
            <w:tcW w:w="1481" w:type="dxa"/>
          </w:tcPr>
          <w:p w14:paraId="084BF7D7" w14:textId="77777777" w:rsidR="000F5AC3" w:rsidRPr="00F03853" w:rsidRDefault="000F5AC3" w:rsidP="00467400">
            <w:pPr>
              <w:tabs>
                <w:tab w:val="left" w:pos="2024"/>
              </w:tabs>
              <w:rPr>
                <w:sz w:val="22"/>
                <w:szCs w:val="22"/>
              </w:rPr>
            </w:pPr>
          </w:p>
        </w:tc>
      </w:tr>
      <w:tr w:rsidR="000F5AC3" w:rsidRPr="00F03853" w14:paraId="6D2670EB" w14:textId="77777777" w:rsidTr="00F03853">
        <w:tc>
          <w:tcPr>
            <w:tcW w:w="1980" w:type="dxa"/>
          </w:tcPr>
          <w:p w14:paraId="69F96D86" w14:textId="52502E79" w:rsidR="000F5AC3" w:rsidRPr="00F03853" w:rsidRDefault="00274899" w:rsidP="00467400">
            <w:pPr>
              <w:tabs>
                <w:tab w:val="left" w:pos="2024"/>
              </w:tabs>
              <w:rPr>
                <w:sz w:val="22"/>
                <w:szCs w:val="22"/>
              </w:rPr>
            </w:pPr>
            <w:r w:rsidRPr="00F03853">
              <w:rPr>
                <w:sz w:val="22"/>
                <w:szCs w:val="22"/>
              </w:rPr>
              <w:t>2.2 Designing methodologies fit for purpose</w:t>
            </w:r>
          </w:p>
        </w:tc>
        <w:tc>
          <w:tcPr>
            <w:tcW w:w="6520" w:type="dxa"/>
          </w:tcPr>
          <w:p w14:paraId="20EB904A" w14:textId="6488A1CF" w:rsidR="000F5AC3" w:rsidRPr="00F03853" w:rsidRDefault="00151711" w:rsidP="00151711">
            <w:pPr>
              <w:tabs>
                <w:tab w:val="left" w:pos="2024"/>
              </w:tabs>
              <w:rPr>
                <w:sz w:val="22"/>
                <w:szCs w:val="22"/>
              </w:rPr>
            </w:pPr>
            <w:r w:rsidRPr="00F03853">
              <w:rPr>
                <w:sz w:val="22"/>
                <w:szCs w:val="22"/>
              </w:rPr>
              <w:t>External quality assurance should be defined and designed specifically to ensure its fitness to achieve the aims and objectives set for it, while taking into account relevant regulations. Stakeholders should be involved in its design and continuous improvement.</w:t>
            </w:r>
          </w:p>
        </w:tc>
        <w:tc>
          <w:tcPr>
            <w:tcW w:w="3969" w:type="dxa"/>
          </w:tcPr>
          <w:p w14:paraId="080B1BDC" w14:textId="77777777" w:rsidR="000F5AC3" w:rsidRPr="00F03853" w:rsidRDefault="000F5AC3" w:rsidP="00467400">
            <w:pPr>
              <w:tabs>
                <w:tab w:val="left" w:pos="2024"/>
              </w:tabs>
              <w:rPr>
                <w:sz w:val="22"/>
                <w:szCs w:val="22"/>
              </w:rPr>
            </w:pPr>
          </w:p>
        </w:tc>
        <w:tc>
          <w:tcPr>
            <w:tcW w:w="1481" w:type="dxa"/>
          </w:tcPr>
          <w:p w14:paraId="2D388A82" w14:textId="77777777" w:rsidR="000F5AC3" w:rsidRPr="00F03853" w:rsidRDefault="000F5AC3" w:rsidP="00467400">
            <w:pPr>
              <w:tabs>
                <w:tab w:val="left" w:pos="2024"/>
              </w:tabs>
              <w:rPr>
                <w:sz w:val="22"/>
                <w:szCs w:val="22"/>
              </w:rPr>
            </w:pPr>
          </w:p>
        </w:tc>
      </w:tr>
      <w:tr w:rsidR="000F5AC3" w:rsidRPr="00F03853" w14:paraId="02C0D127" w14:textId="77777777" w:rsidTr="00F03853">
        <w:tc>
          <w:tcPr>
            <w:tcW w:w="1980" w:type="dxa"/>
          </w:tcPr>
          <w:p w14:paraId="257BA74F" w14:textId="7C329E10" w:rsidR="000F5AC3" w:rsidRPr="00F03853" w:rsidRDefault="00682AA8" w:rsidP="00467400">
            <w:pPr>
              <w:tabs>
                <w:tab w:val="left" w:pos="2024"/>
              </w:tabs>
              <w:rPr>
                <w:sz w:val="22"/>
                <w:szCs w:val="22"/>
              </w:rPr>
            </w:pPr>
            <w:r w:rsidRPr="00F03853">
              <w:rPr>
                <w:sz w:val="22"/>
                <w:szCs w:val="22"/>
              </w:rPr>
              <w:t>2.3 Implementing processes</w:t>
            </w:r>
          </w:p>
        </w:tc>
        <w:tc>
          <w:tcPr>
            <w:tcW w:w="6520" w:type="dxa"/>
          </w:tcPr>
          <w:p w14:paraId="7C887373" w14:textId="77777777" w:rsidR="00151711" w:rsidRPr="00F03853" w:rsidRDefault="00151711" w:rsidP="00151711">
            <w:pPr>
              <w:tabs>
                <w:tab w:val="left" w:pos="2024"/>
              </w:tabs>
              <w:rPr>
                <w:sz w:val="22"/>
                <w:szCs w:val="22"/>
              </w:rPr>
            </w:pPr>
            <w:r w:rsidRPr="00F03853">
              <w:rPr>
                <w:sz w:val="22"/>
                <w:szCs w:val="22"/>
              </w:rPr>
              <w:t>External quality assurance processes should be reliable, useful, pre-defined, implemented</w:t>
            </w:r>
          </w:p>
          <w:p w14:paraId="19C2072E" w14:textId="77777777" w:rsidR="00151711" w:rsidRPr="00F03853" w:rsidRDefault="00151711" w:rsidP="00151711">
            <w:pPr>
              <w:tabs>
                <w:tab w:val="left" w:pos="2024"/>
              </w:tabs>
              <w:rPr>
                <w:sz w:val="22"/>
                <w:szCs w:val="22"/>
              </w:rPr>
            </w:pPr>
            <w:r w:rsidRPr="00F03853">
              <w:rPr>
                <w:sz w:val="22"/>
                <w:szCs w:val="22"/>
              </w:rPr>
              <w:t>consistently and published. They include</w:t>
            </w:r>
          </w:p>
          <w:p w14:paraId="439A21B0" w14:textId="77777777" w:rsidR="00151711" w:rsidRPr="00F03853" w:rsidRDefault="00151711" w:rsidP="00151711">
            <w:pPr>
              <w:tabs>
                <w:tab w:val="left" w:pos="2024"/>
              </w:tabs>
              <w:rPr>
                <w:sz w:val="22"/>
                <w:szCs w:val="22"/>
              </w:rPr>
            </w:pPr>
            <w:r w:rsidRPr="00F03853">
              <w:rPr>
                <w:sz w:val="22"/>
                <w:szCs w:val="22"/>
              </w:rPr>
              <w:t>- a self-assessment or equivalent;</w:t>
            </w:r>
          </w:p>
          <w:p w14:paraId="0B0B3CB3" w14:textId="77777777" w:rsidR="00151711" w:rsidRPr="00F03853" w:rsidRDefault="00151711" w:rsidP="00151711">
            <w:pPr>
              <w:tabs>
                <w:tab w:val="left" w:pos="2024"/>
              </w:tabs>
              <w:rPr>
                <w:sz w:val="22"/>
                <w:szCs w:val="22"/>
              </w:rPr>
            </w:pPr>
            <w:r w:rsidRPr="00F03853">
              <w:rPr>
                <w:sz w:val="22"/>
                <w:szCs w:val="22"/>
              </w:rPr>
              <w:t>- an external assessment normally including a site visit;</w:t>
            </w:r>
          </w:p>
          <w:p w14:paraId="492457BF" w14:textId="77777777" w:rsidR="00151711" w:rsidRPr="00F03853" w:rsidRDefault="00151711" w:rsidP="00151711">
            <w:pPr>
              <w:tabs>
                <w:tab w:val="left" w:pos="2024"/>
              </w:tabs>
              <w:rPr>
                <w:sz w:val="22"/>
                <w:szCs w:val="22"/>
              </w:rPr>
            </w:pPr>
            <w:r w:rsidRPr="00F03853">
              <w:rPr>
                <w:sz w:val="22"/>
                <w:szCs w:val="22"/>
              </w:rPr>
              <w:t>- a report resulting from the external assessment;</w:t>
            </w:r>
          </w:p>
          <w:p w14:paraId="13CE3C72" w14:textId="1247277C" w:rsidR="000F5AC3" w:rsidRPr="00F03853" w:rsidRDefault="00151711" w:rsidP="00151711">
            <w:pPr>
              <w:tabs>
                <w:tab w:val="left" w:pos="2024"/>
              </w:tabs>
              <w:rPr>
                <w:sz w:val="22"/>
                <w:szCs w:val="22"/>
              </w:rPr>
            </w:pPr>
            <w:r w:rsidRPr="00F03853">
              <w:rPr>
                <w:sz w:val="22"/>
                <w:szCs w:val="22"/>
              </w:rPr>
              <w:t>- a consistent follow-up.</w:t>
            </w:r>
          </w:p>
        </w:tc>
        <w:tc>
          <w:tcPr>
            <w:tcW w:w="3969" w:type="dxa"/>
          </w:tcPr>
          <w:p w14:paraId="69F1A479" w14:textId="77777777" w:rsidR="000F5AC3" w:rsidRPr="00F03853" w:rsidRDefault="000F5AC3" w:rsidP="00467400">
            <w:pPr>
              <w:tabs>
                <w:tab w:val="left" w:pos="2024"/>
              </w:tabs>
              <w:rPr>
                <w:sz w:val="22"/>
                <w:szCs w:val="22"/>
              </w:rPr>
            </w:pPr>
          </w:p>
        </w:tc>
        <w:tc>
          <w:tcPr>
            <w:tcW w:w="1481" w:type="dxa"/>
          </w:tcPr>
          <w:p w14:paraId="763FA599" w14:textId="77777777" w:rsidR="000F5AC3" w:rsidRPr="00F03853" w:rsidRDefault="000F5AC3" w:rsidP="00467400">
            <w:pPr>
              <w:tabs>
                <w:tab w:val="left" w:pos="2024"/>
              </w:tabs>
              <w:rPr>
                <w:sz w:val="22"/>
                <w:szCs w:val="22"/>
              </w:rPr>
            </w:pPr>
          </w:p>
        </w:tc>
      </w:tr>
      <w:tr w:rsidR="000F5AC3" w:rsidRPr="00F03853" w14:paraId="28F16B83" w14:textId="77777777" w:rsidTr="00F03853">
        <w:tc>
          <w:tcPr>
            <w:tcW w:w="1980" w:type="dxa"/>
          </w:tcPr>
          <w:p w14:paraId="4F8213EB" w14:textId="06A64A22" w:rsidR="000F5AC3" w:rsidRPr="00F03853" w:rsidRDefault="00C977E1" w:rsidP="00467400">
            <w:pPr>
              <w:tabs>
                <w:tab w:val="left" w:pos="2024"/>
              </w:tabs>
              <w:rPr>
                <w:sz w:val="22"/>
                <w:szCs w:val="22"/>
              </w:rPr>
            </w:pPr>
            <w:r w:rsidRPr="00F03853">
              <w:rPr>
                <w:sz w:val="22"/>
                <w:szCs w:val="22"/>
              </w:rPr>
              <w:t>2.4 Peer-review experts</w:t>
            </w:r>
          </w:p>
        </w:tc>
        <w:tc>
          <w:tcPr>
            <w:tcW w:w="6520" w:type="dxa"/>
          </w:tcPr>
          <w:p w14:paraId="66C64C61" w14:textId="77777777" w:rsidR="00BA490B" w:rsidRPr="00F03853" w:rsidRDefault="00BA490B" w:rsidP="00BA490B">
            <w:pPr>
              <w:tabs>
                <w:tab w:val="left" w:pos="2024"/>
              </w:tabs>
              <w:rPr>
                <w:sz w:val="22"/>
                <w:szCs w:val="22"/>
              </w:rPr>
            </w:pPr>
            <w:r w:rsidRPr="00F03853">
              <w:rPr>
                <w:sz w:val="22"/>
                <w:szCs w:val="22"/>
              </w:rPr>
              <w:t>External quality assurance should be carried out by groups of external experts that include (a)</w:t>
            </w:r>
          </w:p>
          <w:p w14:paraId="4C42EEEB" w14:textId="606D02F9" w:rsidR="000F5AC3" w:rsidRPr="00F03853" w:rsidRDefault="00BA490B" w:rsidP="00BA490B">
            <w:pPr>
              <w:tabs>
                <w:tab w:val="left" w:pos="2024"/>
              </w:tabs>
              <w:rPr>
                <w:sz w:val="22"/>
                <w:szCs w:val="22"/>
              </w:rPr>
            </w:pPr>
            <w:r w:rsidRPr="00F03853">
              <w:rPr>
                <w:sz w:val="22"/>
                <w:szCs w:val="22"/>
              </w:rPr>
              <w:t>student member(s).</w:t>
            </w:r>
          </w:p>
        </w:tc>
        <w:tc>
          <w:tcPr>
            <w:tcW w:w="3969" w:type="dxa"/>
          </w:tcPr>
          <w:p w14:paraId="3ED49153" w14:textId="77777777" w:rsidR="000F5AC3" w:rsidRPr="00F03853" w:rsidRDefault="000F5AC3" w:rsidP="00467400">
            <w:pPr>
              <w:tabs>
                <w:tab w:val="left" w:pos="2024"/>
              </w:tabs>
              <w:rPr>
                <w:sz w:val="22"/>
                <w:szCs w:val="22"/>
              </w:rPr>
            </w:pPr>
          </w:p>
        </w:tc>
        <w:tc>
          <w:tcPr>
            <w:tcW w:w="1481" w:type="dxa"/>
          </w:tcPr>
          <w:p w14:paraId="7BD802D4" w14:textId="77777777" w:rsidR="000F5AC3" w:rsidRPr="00F03853" w:rsidRDefault="000F5AC3" w:rsidP="00467400">
            <w:pPr>
              <w:tabs>
                <w:tab w:val="left" w:pos="2024"/>
              </w:tabs>
              <w:rPr>
                <w:sz w:val="22"/>
                <w:szCs w:val="22"/>
              </w:rPr>
            </w:pPr>
          </w:p>
        </w:tc>
      </w:tr>
      <w:tr w:rsidR="000F5AC3" w:rsidRPr="00F03853" w14:paraId="48D84EC9" w14:textId="77777777" w:rsidTr="00F03853">
        <w:tc>
          <w:tcPr>
            <w:tcW w:w="1980" w:type="dxa"/>
          </w:tcPr>
          <w:p w14:paraId="6D5FFF53" w14:textId="54DC4F1F" w:rsidR="000F5AC3" w:rsidRPr="00F03853" w:rsidRDefault="00C903CF" w:rsidP="00467400">
            <w:pPr>
              <w:tabs>
                <w:tab w:val="left" w:pos="2024"/>
              </w:tabs>
              <w:rPr>
                <w:sz w:val="22"/>
                <w:szCs w:val="22"/>
              </w:rPr>
            </w:pPr>
            <w:r w:rsidRPr="00F03853">
              <w:rPr>
                <w:sz w:val="22"/>
                <w:szCs w:val="22"/>
              </w:rPr>
              <w:t>2.5 Criteria for outcomes</w:t>
            </w:r>
          </w:p>
        </w:tc>
        <w:tc>
          <w:tcPr>
            <w:tcW w:w="6520" w:type="dxa"/>
          </w:tcPr>
          <w:p w14:paraId="16D2F5FC" w14:textId="30813EA7" w:rsidR="000F5AC3" w:rsidRPr="00F03853" w:rsidRDefault="00BA490B" w:rsidP="00BA490B">
            <w:pPr>
              <w:tabs>
                <w:tab w:val="left" w:pos="2024"/>
              </w:tabs>
              <w:rPr>
                <w:sz w:val="22"/>
                <w:szCs w:val="22"/>
              </w:rPr>
            </w:pPr>
            <w:r w:rsidRPr="00F03853">
              <w:rPr>
                <w:sz w:val="22"/>
                <w:szCs w:val="22"/>
              </w:rPr>
              <w:t>Any outcomes or judgements made as the result of external quality assurance should be based on explicit and published criteria that are applied consistently, irrespective of whether the process leads to a formal decision.</w:t>
            </w:r>
          </w:p>
        </w:tc>
        <w:tc>
          <w:tcPr>
            <w:tcW w:w="3969" w:type="dxa"/>
          </w:tcPr>
          <w:p w14:paraId="36338E81" w14:textId="77777777" w:rsidR="000F5AC3" w:rsidRPr="00F03853" w:rsidRDefault="000F5AC3" w:rsidP="00467400">
            <w:pPr>
              <w:tabs>
                <w:tab w:val="left" w:pos="2024"/>
              </w:tabs>
              <w:rPr>
                <w:sz w:val="22"/>
                <w:szCs w:val="22"/>
              </w:rPr>
            </w:pPr>
          </w:p>
        </w:tc>
        <w:tc>
          <w:tcPr>
            <w:tcW w:w="1481" w:type="dxa"/>
          </w:tcPr>
          <w:p w14:paraId="72EEA90D" w14:textId="77777777" w:rsidR="000F5AC3" w:rsidRPr="00F03853" w:rsidRDefault="000F5AC3" w:rsidP="00467400">
            <w:pPr>
              <w:tabs>
                <w:tab w:val="left" w:pos="2024"/>
              </w:tabs>
              <w:rPr>
                <w:sz w:val="22"/>
                <w:szCs w:val="22"/>
              </w:rPr>
            </w:pPr>
          </w:p>
        </w:tc>
      </w:tr>
      <w:tr w:rsidR="00C903CF" w:rsidRPr="00F03853" w14:paraId="700ECA3A" w14:textId="77777777" w:rsidTr="00F03853">
        <w:tc>
          <w:tcPr>
            <w:tcW w:w="1980" w:type="dxa"/>
          </w:tcPr>
          <w:p w14:paraId="465D016C" w14:textId="6283EC82" w:rsidR="00C903CF" w:rsidRPr="00F03853" w:rsidRDefault="004E26AA" w:rsidP="00467400">
            <w:pPr>
              <w:tabs>
                <w:tab w:val="left" w:pos="2024"/>
              </w:tabs>
              <w:rPr>
                <w:sz w:val="22"/>
                <w:szCs w:val="22"/>
              </w:rPr>
            </w:pPr>
            <w:r w:rsidRPr="00F03853">
              <w:rPr>
                <w:sz w:val="22"/>
                <w:szCs w:val="22"/>
              </w:rPr>
              <w:t>2.6 Reporting</w:t>
            </w:r>
          </w:p>
        </w:tc>
        <w:tc>
          <w:tcPr>
            <w:tcW w:w="6520" w:type="dxa"/>
          </w:tcPr>
          <w:p w14:paraId="790C6924" w14:textId="018B8E68" w:rsidR="00C903CF" w:rsidRPr="00F03853" w:rsidRDefault="00BA490B" w:rsidP="00BA490B">
            <w:pPr>
              <w:tabs>
                <w:tab w:val="left" w:pos="2024"/>
              </w:tabs>
              <w:rPr>
                <w:sz w:val="22"/>
                <w:szCs w:val="22"/>
              </w:rPr>
            </w:pPr>
            <w:r w:rsidRPr="00F03853">
              <w:rPr>
                <w:sz w:val="22"/>
                <w:szCs w:val="22"/>
              </w:rPr>
              <w:t>Full reports by the experts should be published, clear and accessible to the academic community, external partners and other interested individuals. If the agency takes any formal decision based on the reports, the decision should be published together with the report.</w:t>
            </w:r>
          </w:p>
        </w:tc>
        <w:tc>
          <w:tcPr>
            <w:tcW w:w="3969" w:type="dxa"/>
          </w:tcPr>
          <w:p w14:paraId="6C2A9345" w14:textId="77777777" w:rsidR="00C903CF" w:rsidRPr="00F03853" w:rsidRDefault="00C903CF" w:rsidP="00467400">
            <w:pPr>
              <w:tabs>
                <w:tab w:val="left" w:pos="2024"/>
              </w:tabs>
              <w:rPr>
                <w:sz w:val="22"/>
                <w:szCs w:val="22"/>
              </w:rPr>
            </w:pPr>
          </w:p>
        </w:tc>
        <w:tc>
          <w:tcPr>
            <w:tcW w:w="1481" w:type="dxa"/>
          </w:tcPr>
          <w:p w14:paraId="3860AE62" w14:textId="77777777" w:rsidR="00C903CF" w:rsidRPr="00F03853" w:rsidRDefault="00C903CF" w:rsidP="00467400">
            <w:pPr>
              <w:tabs>
                <w:tab w:val="left" w:pos="2024"/>
              </w:tabs>
              <w:rPr>
                <w:sz w:val="22"/>
                <w:szCs w:val="22"/>
              </w:rPr>
            </w:pPr>
          </w:p>
        </w:tc>
      </w:tr>
      <w:tr w:rsidR="000F5AC3" w:rsidRPr="00F03853" w14:paraId="7BE8B219" w14:textId="77777777" w:rsidTr="00F03853">
        <w:tc>
          <w:tcPr>
            <w:tcW w:w="1980" w:type="dxa"/>
          </w:tcPr>
          <w:p w14:paraId="24353C12" w14:textId="684FDB7E" w:rsidR="000F5AC3" w:rsidRPr="00F03853" w:rsidRDefault="00C56E8C" w:rsidP="00467400">
            <w:pPr>
              <w:tabs>
                <w:tab w:val="left" w:pos="2024"/>
              </w:tabs>
              <w:rPr>
                <w:sz w:val="22"/>
                <w:szCs w:val="22"/>
              </w:rPr>
            </w:pPr>
            <w:r w:rsidRPr="00F03853">
              <w:rPr>
                <w:sz w:val="22"/>
                <w:szCs w:val="22"/>
              </w:rPr>
              <w:t>2.7 Complaints and appeals</w:t>
            </w:r>
          </w:p>
        </w:tc>
        <w:tc>
          <w:tcPr>
            <w:tcW w:w="6520" w:type="dxa"/>
          </w:tcPr>
          <w:p w14:paraId="294E4858" w14:textId="465BEF63" w:rsidR="000F5AC3" w:rsidRPr="00F03853" w:rsidRDefault="00DA3BBC" w:rsidP="00DA3BBC">
            <w:pPr>
              <w:tabs>
                <w:tab w:val="left" w:pos="2024"/>
              </w:tabs>
              <w:rPr>
                <w:sz w:val="22"/>
                <w:szCs w:val="22"/>
              </w:rPr>
            </w:pPr>
            <w:r w:rsidRPr="00F03853">
              <w:rPr>
                <w:sz w:val="22"/>
                <w:szCs w:val="22"/>
              </w:rPr>
              <w:t>Complaints and appeals processes should be clearly defined as part of the design of external quality assurance processes and communicated to the institutions.</w:t>
            </w:r>
          </w:p>
        </w:tc>
        <w:tc>
          <w:tcPr>
            <w:tcW w:w="3969" w:type="dxa"/>
          </w:tcPr>
          <w:p w14:paraId="3B3A2E96" w14:textId="77777777" w:rsidR="000F5AC3" w:rsidRPr="00F03853" w:rsidRDefault="000F5AC3" w:rsidP="00467400">
            <w:pPr>
              <w:tabs>
                <w:tab w:val="left" w:pos="2024"/>
              </w:tabs>
              <w:rPr>
                <w:sz w:val="22"/>
                <w:szCs w:val="22"/>
              </w:rPr>
            </w:pPr>
          </w:p>
        </w:tc>
        <w:tc>
          <w:tcPr>
            <w:tcW w:w="1481" w:type="dxa"/>
          </w:tcPr>
          <w:p w14:paraId="421A096F" w14:textId="77777777" w:rsidR="000F5AC3" w:rsidRPr="00F03853" w:rsidRDefault="000F5AC3" w:rsidP="00467400">
            <w:pPr>
              <w:tabs>
                <w:tab w:val="left" w:pos="2024"/>
              </w:tabs>
              <w:rPr>
                <w:sz w:val="22"/>
                <w:szCs w:val="22"/>
              </w:rPr>
            </w:pPr>
          </w:p>
        </w:tc>
      </w:tr>
    </w:tbl>
    <w:p w14:paraId="134EE6F0" w14:textId="77777777" w:rsidR="00F137C3" w:rsidRPr="00467400" w:rsidRDefault="00F137C3" w:rsidP="00467400">
      <w:pPr>
        <w:tabs>
          <w:tab w:val="left" w:pos="2024"/>
        </w:tabs>
      </w:pPr>
    </w:p>
    <w:sectPr w:rsidR="00F137C3" w:rsidRPr="00467400" w:rsidSect="00336F7F">
      <w:headerReference w:type="default" r:id="rId7"/>
      <w:footerReference w:type="even" r:id="rId8"/>
      <w:footerReference w:type="default" r:id="rId9"/>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F03B2" w14:textId="77777777" w:rsidR="00DD17F4" w:rsidRDefault="00DD17F4" w:rsidP="00BB3123">
      <w:r>
        <w:separator/>
      </w:r>
    </w:p>
  </w:endnote>
  <w:endnote w:type="continuationSeparator" w:id="0">
    <w:p w14:paraId="303E9114" w14:textId="77777777" w:rsidR="00DD17F4" w:rsidRDefault="00DD17F4" w:rsidP="00BB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5670532"/>
      <w:docPartObj>
        <w:docPartGallery w:val="Page Numbers (Bottom of Page)"/>
        <w:docPartUnique/>
      </w:docPartObj>
    </w:sdtPr>
    <w:sdtEndPr>
      <w:rPr>
        <w:rStyle w:val="PageNumber"/>
      </w:rPr>
    </w:sdtEndPr>
    <w:sdtContent>
      <w:p w14:paraId="233F1314" w14:textId="77777777" w:rsidR="00467400" w:rsidRDefault="00467400" w:rsidP="00C337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CBB8FD" w14:textId="77777777" w:rsidR="002B460C" w:rsidRDefault="002B460C" w:rsidP="004674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189503"/>
      <w:docPartObj>
        <w:docPartGallery w:val="Page Numbers (Bottom of Page)"/>
        <w:docPartUnique/>
      </w:docPartObj>
    </w:sdtPr>
    <w:sdtEndPr>
      <w:rPr>
        <w:noProof/>
      </w:rPr>
    </w:sdtEndPr>
    <w:sdtContent>
      <w:p w14:paraId="7EA60575" w14:textId="3CD7A784" w:rsidR="00BB3123" w:rsidRPr="00414B9E" w:rsidRDefault="00414B9E" w:rsidP="00414B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564F9" w14:textId="77777777" w:rsidR="00DD17F4" w:rsidRDefault="00DD17F4" w:rsidP="00BB3123">
      <w:r>
        <w:separator/>
      </w:r>
    </w:p>
  </w:footnote>
  <w:footnote w:type="continuationSeparator" w:id="0">
    <w:p w14:paraId="11659AE5" w14:textId="77777777" w:rsidR="00DD17F4" w:rsidRDefault="00DD17F4" w:rsidP="00BB3123">
      <w:r>
        <w:continuationSeparator/>
      </w:r>
    </w:p>
  </w:footnote>
  <w:footnote w:id="1">
    <w:p w14:paraId="45F322FC" w14:textId="1EBCD3A5" w:rsidR="00881CBF" w:rsidRPr="00881CBF" w:rsidRDefault="00881CBF">
      <w:pPr>
        <w:pStyle w:val="FootnoteText"/>
        <w:rPr>
          <w:lang w:val="en-GB"/>
        </w:rPr>
      </w:pPr>
      <w:r>
        <w:rPr>
          <w:rStyle w:val="FootnoteReference"/>
        </w:rPr>
        <w:footnoteRef/>
      </w:r>
      <w:r>
        <w:t xml:space="preserve"> </w:t>
      </w:r>
      <w:r>
        <w:rPr>
          <w:lang w:val="en-GB"/>
        </w:rPr>
        <w:t xml:space="preserve">Available at: </w:t>
      </w:r>
      <w:hyperlink r:id="rId1" w:history="1">
        <w:r w:rsidR="00A40B4B" w:rsidRPr="002775C8">
          <w:rPr>
            <w:rStyle w:val="Hyperlink"/>
            <w:lang w:val="en-GB"/>
          </w:rPr>
          <w:t>https://enqa.eu/wp-content/uploads/2015/11/ESG_2015.pdf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F11F1" w14:textId="17E0EF29" w:rsidR="00414B9E" w:rsidRDefault="00414B9E">
    <w:pPr>
      <w:pStyle w:val="Header"/>
    </w:pPr>
    <w:r>
      <w:rPr>
        <w:noProof/>
      </w:rPr>
      <w:drawing>
        <wp:anchor distT="0" distB="0" distL="114300" distR="114300" simplePos="0" relativeHeight="251658240" behindDoc="1" locked="0" layoutInCell="1" allowOverlap="1" wp14:anchorId="0EC67E5E" wp14:editId="4F6240CB">
          <wp:simplePos x="0" y="0"/>
          <wp:positionH relativeFrom="margin">
            <wp:posOffset>-90487</wp:posOffset>
          </wp:positionH>
          <wp:positionV relativeFrom="paragraph">
            <wp:posOffset>-209868</wp:posOffset>
          </wp:positionV>
          <wp:extent cx="1785938" cy="11781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938" cy="11781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97B76" w14:textId="38D509A7" w:rsidR="00414B9E" w:rsidRDefault="00414B9E">
    <w:pPr>
      <w:pStyle w:val="Header"/>
    </w:pPr>
  </w:p>
  <w:p w14:paraId="413D6DFA" w14:textId="1FCA9208" w:rsidR="00414B9E" w:rsidRDefault="00414B9E">
    <w:pPr>
      <w:pStyle w:val="Header"/>
    </w:pPr>
  </w:p>
  <w:p w14:paraId="5B990EB4" w14:textId="77777777" w:rsidR="00414B9E" w:rsidRDefault="00414B9E">
    <w:pPr>
      <w:pStyle w:val="Header"/>
    </w:pPr>
  </w:p>
  <w:p w14:paraId="0FAE864B" w14:textId="79E9B301" w:rsidR="00BB3123" w:rsidRDefault="00BB3123">
    <w:pPr>
      <w:pStyle w:val="Header"/>
    </w:pPr>
  </w:p>
  <w:p w14:paraId="158527BA" w14:textId="77777777" w:rsidR="00414B9E" w:rsidRDefault="00414B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23"/>
    <w:rsid w:val="000F5AC3"/>
    <w:rsid w:val="00151711"/>
    <w:rsid w:val="00171AFB"/>
    <w:rsid w:val="001F5F6E"/>
    <w:rsid w:val="00274899"/>
    <w:rsid w:val="002A3D66"/>
    <w:rsid w:val="002B460C"/>
    <w:rsid w:val="002E377B"/>
    <w:rsid w:val="003139BB"/>
    <w:rsid w:val="00336F7F"/>
    <w:rsid w:val="003D289C"/>
    <w:rsid w:val="00414B9E"/>
    <w:rsid w:val="00433273"/>
    <w:rsid w:val="00467400"/>
    <w:rsid w:val="004E26AA"/>
    <w:rsid w:val="00563145"/>
    <w:rsid w:val="00563374"/>
    <w:rsid w:val="005A5239"/>
    <w:rsid w:val="005A60F3"/>
    <w:rsid w:val="005F2726"/>
    <w:rsid w:val="006055BA"/>
    <w:rsid w:val="00650457"/>
    <w:rsid w:val="00682AA8"/>
    <w:rsid w:val="006E4EC7"/>
    <w:rsid w:val="00771598"/>
    <w:rsid w:val="00820ED8"/>
    <w:rsid w:val="00881CBF"/>
    <w:rsid w:val="00885123"/>
    <w:rsid w:val="008C7952"/>
    <w:rsid w:val="009E3340"/>
    <w:rsid w:val="00A40B4B"/>
    <w:rsid w:val="00A62C00"/>
    <w:rsid w:val="00AD57C1"/>
    <w:rsid w:val="00BA490B"/>
    <w:rsid w:val="00BB3123"/>
    <w:rsid w:val="00C56E8C"/>
    <w:rsid w:val="00C903CF"/>
    <w:rsid w:val="00C977E1"/>
    <w:rsid w:val="00CC718D"/>
    <w:rsid w:val="00CE416A"/>
    <w:rsid w:val="00D64E8D"/>
    <w:rsid w:val="00DA3BBC"/>
    <w:rsid w:val="00DD17F4"/>
    <w:rsid w:val="00DD2CF4"/>
    <w:rsid w:val="00E11158"/>
    <w:rsid w:val="00E667AC"/>
    <w:rsid w:val="00F03853"/>
    <w:rsid w:val="00F0576A"/>
    <w:rsid w:val="00F137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CFEDFB"/>
  <w15:chartTrackingRefBased/>
  <w15:docId w15:val="{C6444C4A-7CCD-7D48-8B6D-A50ECC43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123"/>
    <w:pPr>
      <w:tabs>
        <w:tab w:val="center" w:pos="4536"/>
        <w:tab w:val="right" w:pos="9072"/>
      </w:tabs>
    </w:pPr>
  </w:style>
  <w:style w:type="character" w:customStyle="1" w:styleId="HeaderChar">
    <w:name w:val="Header Char"/>
    <w:basedOn w:val="DefaultParagraphFont"/>
    <w:link w:val="Header"/>
    <w:uiPriority w:val="99"/>
    <w:rsid w:val="00BB3123"/>
  </w:style>
  <w:style w:type="paragraph" w:styleId="Footer">
    <w:name w:val="footer"/>
    <w:basedOn w:val="Normal"/>
    <w:link w:val="FooterChar"/>
    <w:uiPriority w:val="99"/>
    <w:unhideWhenUsed/>
    <w:rsid w:val="00BB3123"/>
    <w:pPr>
      <w:tabs>
        <w:tab w:val="center" w:pos="4536"/>
        <w:tab w:val="right" w:pos="9072"/>
      </w:tabs>
    </w:pPr>
  </w:style>
  <w:style w:type="character" w:customStyle="1" w:styleId="FooterChar">
    <w:name w:val="Footer Char"/>
    <w:basedOn w:val="DefaultParagraphFont"/>
    <w:link w:val="Footer"/>
    <w:uiPriority w:val="99"/>
    <w:rsid w:val="00BB3123"/>
  </w:style>
  <w:style w:type="character" w:styleId="PageNumber">
    <w:name w:val="page number"/>
    <w:basedOn w:val="DefaultParagraphFont"/>
    <w:uiPriority w:val="99"/>
    <w:semiHidden/>
    <w:unhideWhenUsed/>
    <w:rsid w:val="00467400"/>
  </w:style>
  <w:style w:type="paragraph" w:styleId="FootnoteText">
    <w:name w:val="footnote text"/>
    <w:basedOn w:val="Normal"/>
    <w:link w:val="FootnoteTextChar"/>
    <w:uiPriority w:val="99"/>
    <w:semiHidden/>
    <w:unhideWhenUsed/>
    <w:rsid w:val="005A5239"/>
    <w:rPr>
      <w:sz w:val="20"/>
      <w:szCs w:val="20"/>
    </w:rPr>
  </w:style>
  <w:style w:type="character" w:customStyle="1" w:styleId="FootnoteTextChar">
    <w:name w:val="Footnote Text Char"/>
    <w:basedOn w:val="DefaultParagraphFont"/>
    <w:link w:val="FootnoteText"/>
    <w:uiPriority w:val="99"/>
    <w:semiHidden/>
    <w:rsid w:val="005A5239"/>
    <w:rPr>
      <w:sz w:val="20"/>
      <w:szCs w:val="20"/>
    </w:rPr>
  </w:style>
  <w:style w:type="character" w:styleId="FootnoteReference">
    <w:name w:val="footnote reference"/>
    <w:basedOn w:val="DefaultParagraphFont"/>
    <w:uiPriority w:val="99"/>
    <w:semiHidden/>
    <w:unhideWhenUsed/>
    <w:rsid w:val="005A5239"/>
    <w:rPr>
      <w:vertAlign w:val="superscript"/>
    </w:rPr>
  </w:style>
  <w:style w:type="table" w:styleId="TableGrid">
    <w:name w:val="Table Grid"/>
    <w:basedOn w:val="TableNormal"/>
    <w:uiPriority w:val="39"/>
    <w:rsid w:val="0017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0B4B"/>
    <w:rPr>
      <w:color w:val="0563C1" w:themeColor="hyperlink"/>
      <w:u w:val="single"/>
    </w:rPr>
  </w:style>
  <w:style w:type="character" w:styleId="UnresolvedMention">
    <w:name w:val="Unresolved Mention"/>
    <w:basedOn w:val="DefaultParagraphFont"/>
    <w:uiPriority w:val="99"/>
    <w:semiHidden/>
    <w:unhideWhenUsed/>
    <w:rsid w:val="00A40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59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nqa.eu/wp-content/uploads/2015/11/ESG_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297D2-86FC-4650-B3E3-5938381D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487</Words>
  <Characters>2777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Goran Dakovic</cp:lastModifiedBy>
  <cp:revision>35</cp:revision>
  <cp:lastPrinted>2020-03-10T15:08:00Z</cp:lastPrinted>
  <dcterms:created xsi:type="dcterms:W3CDTF">2020-03-26T09:04:00Z</dcterms:created>
  <dcterms:modified xsi:type="dcterms:W3CDTF">2021-03-24T12:02:00Z</dcterms:modified>
</cp:coreProperties>
</file>